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F042BC" w14:textId="1AE5130B"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044411">
        <w:t>9</w:t>
      </w:r>
      <w:r w:rsidR="00725C3A">
        <w:t>4</w:t>
      </w:r>
      <w:r w:rsidRPr="00CE0424">
        <w:tab/>
      </w:r>
      <w:r w:rsidR="00091557" w:rsidRPr="00CE0424">
        <w:rPr>
          <w:sz w:val="32"/>
          <w:szCs w:val="32"/>
        </w:rPr>
        <w:t>R</w:t>
      </w:r>
      <w:r w:rsidR="008F1C4E">
        <w:rPr>
          <w:sz w:val="32"/>
          <w:szCs w:val="32"/>
        </w:rPr>
        <w:t>1</w:t>
      </w:r>
      <w:r w:rsidR="00091557" w:rsidRPr="00CE0424">
        <w:rPr>
          <w:sz w:val="32"/>
          <w:szCs w:val="32"/>
        </w:rPr>
        <w:t>-</w:t>
      </w:r>
      <w:r w:rsidR="005F3025" w:rsidRPr="00CE0424">
        <w:rPr>
          <w:sz w:val="32"/>
          <w:szCs w:val="32"/>
        </w:rPr>
        <w:t>1</w:t>
      </w:r>
      <w:r w:rsidR="008F1C4E">
        <w:rPr>
          <w:sz w:val="32"/>
          <w:szCs w:val="32"/>
        </w:rPr>
        <w:t>8</w:t>
      </w:r>
      <w:r w:rsidR="0094119D">
        <w:rPr>
          <w:sz w:val="32"/>
          <w:szCs w:val="32"/>
        </w:rPr>
        <w:t>08979</w:t>
      </w:r>
    </w:p>
    <w:p w14:paraId="09E2CDF3" w14:textId="010F4C4E" w:rsidR="00E90E49" w:rsidRPr="00EE6334" w:rsidRDefault="00725C3A" w:rsidP="00EE6334">
      <w:pPr>
        <w:tabs>
          <w:tab w:val="center" w:pos="4536"/>
          <w:tab w:val="right" w:pos="9072"/>
        </w:tabs>
        <w:rPr>
          <w:rFonts w:ascii="Arial" w:eastAsia="MS Mincho" w:hAnsi="Arial" w:cs="Arial"/>
          <w:b/>
          <w:bCs/>
          <w:sz w:val="24"/>
          <w:szCs w:val="24"/>
        </w:rPr>
      </w:pPr>
      <w:r w:rsidRPr="00725C3A">
        <w:rPr>
          <w:rFonts w:ascii="Arial" w:eastAsia="MS Mincho" w:hAnsi="Arial" w:cs="Arial"/>
          <w:b/>
          <w:bCs/>
          <w:sz w:val="24"/>
          <w:szCs w:val="24"/>
        </w:rPr>
        <w:t>Gothenburg, Sweden, August 20</w:t>
      </w:r>
      <w:r w:rsidRPr="00725C3A">
        <w:rPr>
          <w:rFonts w:ascii="Arial" w:eastAsia="MS Mincho" w:hAnsi="Arial" w:cs="Arial"/>
          <w:b/>
          <w:bCs/>
          <w:sz w:val="24"/>
          <w:szCs w:val="24"/>
          <w:vertAlign w:val="superscript"/>
        </w:rPr>
        <w:t>th</w:t>
      </w:r>
      <w:r w:rsidRPr="00725C3A">
        <w:rPr>
          <w:rFonts w:ascii="Arial" w:eastAsia="MS Mincho" w:hAnsi="Arial" w:cs="Arial"/>
          <w:b/>
          <w:bCs/>
          <w:sz w:val="24"/>
          <w:szCs w:val="24"/>
        </w:rPr>
        <w:t xml:space="preserve"> – 24</w:t>
      </w:r>
      <w:r w:rsidRPr="00725C3A">
        <w:rPr>
          <w:rFonts w:ascii="Arial" w:eastAsia="MS Mincho" w:hAnsi="Arial" w:cs="Arial"/>
          <w:b/>
          <w:bCs/>
          <w:sz w:val="24"/>
          <w:szCs w:val="24"/>
          <w:vertAlign w:val="superscript"/>
        </w:rPr>
        <w:t>th</w:t>
      </w:r>
      <w:r w:rsidRPr="00725C3A">
        <w:rPr>
          <w:rFonts w:ascii="Arial" w:eastAsia="MS Mincho" w:hAnsi="Arial" w:cs="Arial"/>
          <w:b/>
          <w:bCs/>
          <w:sz w:val="24"/>
          <w:szCs w:val="24"/>
        </w:rPr>
        <w:t xml:space="preserve">, 2018 </w:t>
      </w:r>
    </w:p>
    <w:p w14:paraId="5D039B66" w14:textId="7137FD3F" w:rsidR="00E90E49" w:rsidRPr="00044411" w:rsidRDefault="00E90E49" w:rsidP="00311702">
      <w:pPr>
        <w:pStyle w:val="3GPPHeader"/>
        <w:rPr>
          <w:sz w:val="22"/>
          <w:szCs w:val="22"/>
          <w:lang w:val="en-US"/>
        </w:rPr>
      </w:pPr>
      <w:r w:rsidRPr="00044411">
        <w:rPr>
          <w:sz w:val="22"/>
          <w:szCs w:val="22"/>
          <w:lang w:val="en-US"/>
        </w:rPr>
        <w:t>Agenda Item:</w:t>
      </w:r>
      <w:r w:rsidRPr="00044411">
        <w:rPr>
          <w:sz w:val="22"/>
          <w:szCs w:val="22"/>
          <w:lang w:val="en-US"/>
        </w:rPr>
        <w:tab/>
      </w:r>
      <w:r w:rsidR="00044411" w:rsidRPr="00044411">
        <w:rPr>
          <w:sz w:val="22"/>
          <w:szCs w:val="22"/>
          <w:lang w:val="en-US"/>
        </w:rPr>
        <w:t>7.</w:t>
      </w:r>
      <w:r w:rsidR="002C57BA">
        <w:rPr>
          <w:sz w:val="22"/>
          <w:szCs w:val="22"/>
          <w:lang w:val="en-US"/>
        </w:rPr>
        <w:t>2.1</w:t>
      </w:r>
      <w:r w:rsidR="00044411" w:rsidRPr="00044411">
        <w:rPr>
          <w:sz w:val="22"/>
          <w:szCs w:val="22"/>
          <w:lang w:val="en-US"/>
        </w:rPr>
        <w:t>.</w:t>
      </w:r>
      <w:r w:rsidR="00D95462">
        <w:rPr>
          <w:sz w:val="22"/>
          <w:szCs w:val="22"/>
          <w:lang w:val="en-US"/>
        </w:rPr>
        <w:t>5</w:t>
      </w:r>
    </w:p>
    <w:p w14:paraId="6E6D73C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FF0CA1" w14:textId="5B564059" w:rsidR="00E90E49" w:rsidRPr="00CE0424" w:rsidRDefault="003D3C45" w:rsidP="00311702">
      <w:pPr>
        <w:pStyle w:val="3GPPHeader"/>
        <w:rPr>
          <w:sz w:val="22"/>
          <w:szCs w:val="22"/>
        </w:rPr>
      </w:pPr>
      <w:r>
        <w:rPr>
          <w:sz w:val="22"/>
          <w:szCs w:val="22"/>
        </w:rPr>
        <w:t>Title:</w:t>
      </w:r>
      <w:r w:rsidR="00E90E49" w:rsidRPr="00CE0424">
        <w:rPr>
          <w:sz w:val="22"/>
          <w:szCs w:val="22"/>
        </w:rPr>
        <w:tab/>
      </w:r>
      <w:r w:rsidR="00D95462">
        <w:rPr>
          <w:sz w:val="22"/>
          <w:szCs w:val="22"/>
        </w:rPr>
        <w:t xml:space="preserve">DMRS </w:t>
      </w:r>
      <w:r w:rsidR="00A62046">
        <w:rPr>
          <w:sz w:val="22"/>
          <w:szCs w:val="22"/>
        </w:rPr>
        <w:t>d</w:t>
      </w:r>
      <w:r w:rsidR="00D95462">
        <w:rPr>
          <w:sz w:val="22"/>
          <w:szCs w:val="22"/>
        </w:rPr>
        <w:t>esign for</w:t>
      </w:r>
      <w:r w:rsidR="00044411">
        <w:rPr>
          <w:sz w:val="22"/>
          <w:szCs w:val="22"/>
        </w:rPr>
        <w:t xml:space="preserve"> NoMA</w:t>
      </w:r>
    </w:p>
    <w:p w14:paraId="0E946205" w14:textId="1C12B5C5"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044411">
        <w:rPr>
          <w:sz w:val="22"/>
          <w:szCs w:val="22"/>
        </w:rPr>
        <w:t>Discussion</w:t>
      </w:r>
    </w:p>
    <w:p w14:paraId="6D811216" w14:textId="77777777" w:rsidR="00E90E49" w:rsidRPr="00CE0424" w:rsidRDefault="00E90E49" w:rsidP="00E90E49"/>
    <w:p w14:paraId="0B9FBFA5" w14:textId="77777777" w:rsidR="00E90E49" w:rsidRPr="00CE0424" w:rsidRDefault="00230D18" w:rsidP="00CE0424">
      <w:pPr>
        <w:pStyle w:val="Heading1"/>
      </w:pPr>
      <w:r>
        <w:t>1</w:t>
      </w:r>
      <w:r>
        <w:tab/>
      </w:r>
      <w:r w:rsidR="00E90E49" w:rsidRPr="00CE0424">
        <w:t>Introduction</w:t>
      </w:r>
    </w:p>
    <w:p w14:paraId="56A32691" w14:textId="7C7F1BD4" w:rsidR="00970186" w:rsidRDefault="00970186" w:rsidP="00970186">
      <w:pPr>
        <w:pStyle w:val="BodyText"/>
      </w:pPr>
      <w:r>
        <w:t xml:space="preserve">According to the </w:t>
      </w:r>
      <w:r w:rsidR="00755E95">
        <w:t>agreement below</w:t>
      </w:r>
      <w:r w:rsidR="006378CF">
        <w:t xml:space="preserve"> in </w:t>
      </w:r>
      <w:r w:rsidR="001C60F4">
        <w:t xml:space="preserve">RAN1 #93 </w:t>
      </w:r>
      <w:r w:rsidR="001038CC">
        <w:t xml:space="preserve">meeting </w:t>
      </w:r>
      <w:r w:rsidR="00601C0F">
        <w:fldChar w:fldCharType="begin"/>
      </w:r>
      <w:r w:rsidR="00601C0F">
        <w:instrText xml:space="preserve"> REF _Ref521665283 \r \h </w:instrText>
      </w:r>
      <w:r w:rsidR="00601C0F">
        <w:fldChar w:fldCharType="separate"/>
      </w:r>
      <w:r w:rsidR="00601C0F">
        <w:t>[1]</w:t>
      </w:r>
      <w:r w:rsidR="00601C0F">
        <w:fldChar w:fldCharType="end"/>
      </w:r>
      <w:r>
        <w:t xml:space="preserve">, </w:t>
      </w:r>
      <w:r w:rsidR="00755E95">
        <w:t xml:space="preserve">DMRS </w:t>
      </w:r>
      <w:r w:rsidR="00AC0C6F">
        <w:t xml:space="preserve">for </w:t>
      </w:r>
      <w:proofErr w:type="spellStart"/>
      <w:r w:rsidR="00AC0C6F">
        <w:t>NoMA</w:t>
      </w:r>
      <w:proofErr w:type="spellEnd"/>
      <w:r w:rsidR="00AC0C6F">
        <w:t xml:space="preserve"> </w:t>
      </w:r>
      <w:r w:rsidR="00755E95">
        <w:t xml:space="preserve">is </w:t>
      </w:r>
      <w:r w:rsidR="00AC0C6F">
        <w:t xml:space="preserve">expected </w:t>
      </w:r>
      <w:r w:rsidR="00755E95">
        <w:t>to be studied based on the</w:t>
      </w:r>
      <w:r w:rsidR="00A20111">
        <w:t xml:space="preserve"> NR</w:t>
      </w:r>
      <w:r w:rsidR="00755E95">
        <w:t xml:space="preserve"> release 15 </w:t>
      </w:r>
      <w:r w:rsidR="00A20111">
        <w:t>DMRS design</w:t>
      </w:r>
      <w:r w:rsidR="00A02032">
        <w:t xml:space="preserve">. And an extension of DMRS design </w:t>
      </w:r>
      <w:r w:rsidR="005856BF">
        <w:t xml:space="preserve">may </w:t>
      </w:r>
      <w:r w:rsidR="00A02032">
        <w:t>b</w:t>
      </w:r>
      <w:r w:rsidR="005856BF">
        <w:t xml:space="preserve">e needed when the number of </w:t>
      </w:r>
      <w:r w:rsidR="00E720FA">
        <w:t>DMRS ports is more than 12</w:t>
      </w:r>
      <w:r w:rsidR="002F4467">
        <w:t xml:space="preserve"> for NoMA</w:t>
      </w:r>
      <w:r w:rsidR="00E720FA">
        <w:t>.</w:t>
      </w:r>
    </w:p>
    <w:p w14:paraId="612D62B9" w14:textId="77777777" w:rsidR="00755E95" w:rsidRPr="00340A58" w:rsidRDefault="00755E95" w:rsidP="00755E95">
      <w:pPr>
        <w:rPr>
          <w:b/>
          <w:lang w:eastAsia="x-none"/>
        </w:rPr>
      </w:pPr>
      <w:r w:rsidRPr="00340A58">
        <w:rPr>
          <w:highlight w:val="green"/>
          <w:lang w:eastAsia="x-none"/>
        </w:rPr>
        <w:t>Agreements</w:t>
      </w:r>
      <w:r w:rsidRPr="00340A58">
        <w:rPr>
          <w:b/>
          <w:lang w:eastAsia="x-none"/>
        </w:rPr>
        <w:t>:</w:t>
      </w:r>
    </w:p>
    <w:p w14:paraId="25314806" w14:textId="77777777" w:rsidR="00755E95" w:rsidRPr="00340A58" w:rsidRDefault="00755E95" w:rsidP="00755E95">
      <w:pPr>
        <w:numPr>
          <w:ilvl w:val="0"/>
          <w:numId w:val="33"/>
        </w:numPr>
        <w:overflowPunct/>
        <w:autoSpaceDE/>
        <w:autoSpaceDN/>
        <w:snapToGrid w:val="0"/>
        <w:spacing w:afterLines="20" w:after="48" w:line="276" w:lineRule="auto"/>
        <w:jc w:val="both"/>
        <w:textAlignment w:val="auto"/>
        <w:rPr>
          <w:bCs/>
          <w:iCs/>
          <w:lang w:eastAsia="x-none"/>
        </w:rPr>
      </w:pPr>
      <w:r w:rsidRPr="00340A58">
        <w:rPr>
          <w:bCs/>
          <w:iCs/>
          <w:lang w:eastAsia="x-none"/>
        </w:rPr>
        <w:t>UL data transmission and detection procedures of Rel-15 configured grant is the starting point for NOMA study.</w:t>
      </w:r>
    </w:p>
    <w:p w14:paraId="6EA4C879" w14:textId="77777777" w:rsidR="00755E95" w:rsidRPr="00340A58" w:rsidRDefault="00755E95" w:rsidP="00755E95">
      <w:pPr>
        <w:widowControl w:val="0"/>
        <w:numPr>
          <w:ilvl w:val="0"/>
          <w:numId w:val="33"/>
        </w:numPr>
        <w:overflowPunct/>
        <w:autoSpaceDE/>
        <w:autoSpaceDN/>
        <w:snapToGrid w:val="0"/>
        <w:spacing w:afterLines="20" w:after="48" w:line="276" w:lineRule="auto"/>
        <w:jc w:val="both"/>
        <w:textAlignment w:val="auto"/>
        <w:rPr>
          <w:lang w:eastAsia="x-none"/>
        </w:rPr>
      </w:pPr>
      <w:r w:rsidRPr="00340A58">
        <w:rPr>
          <w:bCs/>
          <w:iCs/>
          <w:lang w:eastAsia="x-none"/>
        </w:rPr>
        <w:t>Different UL data transmission and detection procedures from Rel-15 configured grant for NOMA study can be considered</w:t>
      </w:r>
    </w:p>
    <w:p w14:paraId="42ABAFEF" w14:textId="77777777" w:rsidR="00755E95" w:rsidRPr="00340A58" w:rsidRDefault="00755E95" w:rsidP="00755E95">
      <w:pPr>
        <w:widowControl w:val="0"/>
        <w:numPr>
          <w:ilvl w:val="1"/>
          <w:numId w:val="33"/>
        </w:numPr>
        <w:overflowPunct/>
        <w:autoSpaceDE/>
        <w:autoSpaceDN/>
        <w:snapToGrid w:val="0"/>
        <w:spacing w:afterLines="20" w:after="48" w:line="276" w:lineRule="auto"/>
        <w:jc w:val="both"/>
        <w:textAlignment w:val="auto"/>
        <w:rPr>
          <w:lang w:eastAsia="x-none"/>
        </w:rPr>
      </w:pPr>
      <w:r w:rsidRPr="00340A58">
        <w:rPr>
          <w:bCs/>
          <w:iCs/>
          <w:lang w:eastAsia="x-none"/>
        </w:rPr>
        <w:t xml:space="preserve">e.g. Preamble, </w:t>
      </w:r>
      <w:r w:rsidRPr="00FD7973">
        <w:rPr>
          <w:bCs/>
          <w:iCs/>
          <w:highlight w:val="yellow"/>
          <w:lang w:eastAsia="x-none"/>
        </w:rPr>
        <w:t>DMRS,</w:t>
      </w:r>
      <w:r w:rsidRPr="00340A58">
        <w:rPr>
          <w:bCs/>
          <w:iCs/>
          <w:lang w:eastAsia="x-none"/>
        </w:rPr>
        <w:t xml:space="preserve"> synchronization, resource (physical resource and MA signature) configuration, UE detection, HARQ retransmission and ACK/NACK feedback, link adaptation, adaptation between orthogonal and non-orthogonal multiple access, collision control, etc.</w:t>
      </w:r>
    </w:p>
    <w:p w14:paraId="5F32EBBD" w14:textId="77777777" w:rsidR="00F86361" w:rsidRPr="00F35889" w:rsidRDefault="00970186" w:rsidP="00F86361">
      <w:pPr>
        <w:rPr>
          <w:lang w:eastAsia="x-none"/>
        </w:rPr>
      </w:pPr>
      <w:r w:rsidRPr="009C218E">
        <w:t xml:space="preserve"> </w:t>
      </w:r>
      <w:r w:rsidR="00F86361" w:rsidRPr="00F35889">
        <w:rPr>
          <w:highlight w:val="green"/>
          <w:lang w:eastAsia="x-none"/>
        </w:rPr>
        <w:t>Agreements</w:t>
      </w:r>
      <w:r w:rsidR="00F86361" w:rsidRPr="00F35889">
        <w:rPr>
          <w:lang w:eastAsia="x-none"/>
        </w:rPr>
        <w:t>:</w:t>
      </w:r>
    </w:p>
    <w:p w14:paraId="3F8A9F95" w14:textId="77777777" w:rsidR="00F86361" w:rsidRPr="00F35889" w:rsidRDefault="00F86361" w:rsidP="00F86361">
      <w:pPr>
        <w:widowControl w:val="0"/>
        <w:numPr>
          <w:ilvl w:val="0"/>
          <w:numId w:val="34"/>
        </w:numPr>
        <w:overflowPunct/>
        <w:autoSpaceDE/>
        <w:autoSpaceDN/>
        <w:adjustRightInd/>
        <w:spacing w:beforeLines="50" w:before="120" w:after="0"/>
        <w:ind w:left="840"/>
        <w:jc w:val="both"/>
        <w:textAlignment w:val="auto"/>
        <w:rPr>
          <w:rFonts w:eastAsia="SimSun"/>
          <w:iCs/>
        </w:rPr>
      </w:pPr>
      <w:r w:rsidRPr="00F35889">
        <w:rPr>
          <w:rFonts w:eastAsia="SimSun"/>
          <w:iCs/>
        </w:rPr>
        <w:t>For realistic channel estimation with number of DMRS ports &lt;= 12</w:t>
      </w:r>
    </w:p>
    <w:p w14:paraId="4418DC83" w14:textId="77777777" w:rsidR="00F86361" w:rsidRPr="00F35889" w:rsidRDefault="00F86361" w:rsidP="00F86361">
      <w:pPr>
        <w:widowControl w:val="0"/>
        <w:numPr>
          <w:ilvl w:val="1"/>
          <w:numId w:val="35"/>
        </w:numPr>
        <w:overflowPunct/>
        <w:autoSpaceDE/>
        <w:autoSpaceDN/>
        <w:adjustRightInd/>
        <w:spacing w:beforeLines="50" w:before="120" w:after="0"/>
        <w:ind w:left="1260"/>
        <w:jc w:val="both"/>
        <w:textAlignment w:val="auto"/>
        <w:rPr>
          <w:rFonts w:eastAsia="SimSun"/>
          <w:iCs/>
        </w:rPr>
      </w:pPr>
      <w:r w:rsidRPr="00F35889">
        <w:rPr>
          <w:rFonts w:eastAsia="SimSun"/>
          <w:iCs/>
        </w:rPr>
        <w:t>Reuse the NR design for evaluation purpose</w:t>
      </w:r>
    </w:p>
    <w:p w14:paraId="08D06F13" w14:textId="77777777" w:rsidR="00F86361" w:rsidRPr="00F35889" w:rsidRDefault="00F86361" w:rsidP="00F86361">
      <w:pPr>
        <w:widowControl w:val="0"/>
        <w:numPr>
          <w:ilvl w:val="1"/>
          <w:numId w:val="35"/>
        </w:numPr>
        <w:overflowPunct/>
        <w:autoSpaceDE/>
        <w:autoSpaceDN/>
        <w:adjustRightInd/>
        <w:spacing w:beforeLines="50" w:before="120" w:after="0"/>
        <w:ind w:left="1260"/>
        <w:jc w:val="both"/>
        <w:textAlignment w:val="auto"/>
        <w:rPr>
          <w:rFonts w:eastAsia="SimSun"/>
          <w:iCs/>
        </w:rPr>
      </w:pPr>
      <w:r w:rsidRPr="00F35889">
        <w:rPr>
          <w:rFonts w:eastAsia="SimSun"/>
          <w:iCs/>
        </w:rPr>
        <w:t>Other DMRS designs are not precluded for the NOMA study</w:t>
      </w:r>
    </w:p>
    <w:p w14:paraId="3F41EB71" w14:textId="77777777" w:rsidR="00F86361" w:rsidRPr="00F35889" w:rsidRDefault="00F86361" w:rsidP="00F86361">
      <w:pPr>
        <w:widowControl w:val="0"/>
        <w:numPr>
          <w:ilvl w:val="0"/>
          <w:numId w:val="34"/>
        </w:numPr>
        <w:overflowPunct/>
        <w:autoSpaceDE/>
        <w:autoSpaceDN/>
        <w:adjustRightInd/>
        <w:spacing w:beforeLines="50" w:before="120" w:after="0"/>
        <w:ind w:left="840"/>
        <w:jc w:val="both"/>
        <w:textAlignment w:val="auto"/>
        <w:rPr>
          <w:rFonts w:eastAsia="SimSun"/>
          <w:iCs/>
        </w:rPr>
      </w:pPr>
      <w:r w:rsidRPr="00F35889">
        <w:rPr>
          <w:rFonts w:eastAsia="SimSun"/>
          <w:iCs/>
        </w:rPr>
        <w:t>For realistic channel estimation with number of DMRS ports &gt; 12</w:t>
      </w:r>
    </w:p>
    <w:p w14:paraId="5EF22916" w14:textId="77777777" w:rsidR="00F86361" w:rsidRPr="00F35889" w:rsidRDefault="00F86361" w:rsidP="00F86361">
      <w:pPr>
        <w:widowControl w:val="0"/>
        <w:numPr>
          <w:ilvl w:val="1"/>
          <w:numId w:val="36"/>
        </w:numPr>
        <w:overflowPunct/>
        <w:autoSpaceDE/>
        <w:autoSpaceDN/>
        <w:adjustRightInd/>
        <w:spacing w:beforeLines="50" w:before="120" w:after="0"/>
        <w:ind w:left="1260"/>
        <w:jc w:val="both"/>
        <w:textAlignment w:val="auto"/>
        <w:rPr>
          <w:rFonts w:eastAsia="SimSun"/>
        </w:rPr>
      </w:pPr>
      <w:r w:rsidRPr="00F35889">
        <w:rPr>
          <w:rFonts w:eastAsia="SimSun"/>
          <w:iCs/>
        </w:rPr>
        <w:t>The DMRS overhead should not be less than NR design for evaluation purpose.</w:t>
      </w:r>
    </w:p>
    <w:p w14:paraId="0B1F256F" w14:textId="77777777" w:rsidR="00F86361" w:rsidRPr="00F86361" w:rsidRDefault="00F86361" w:rsidP="00F86361">
      <w:pPr>
        <w:widowControl w:val="0"/>
        <w:numPr>
          <w:ilvl w:val="1"/>
          <w:numId w:val="36"/>
        </w:numPr>
        <w:overflowPunct/>
        <w:autoSpaceDE/>
        <w:autoSpaceDN/>
        <w:adjustRightInd/>
        <w:spacing w:beforeLines="50" w:before="120" w:after="0"/>
        <w:ind w:left="1260"/>
        <w:jc w:val="both"/>
        <w:textAlignment w:val="auto"/>
        <w:rPr>
          <w:rFonts w:eastAsia="SimSun"/>
          <w:highlight w:val="yellow"/>
        </w:rPr>
      </w:pPr>
      <w:r w:rsidRPr="00F86361">
        <w:rPr>
          <w:rFonts w:eastAsia="SimSun"/>
          <w:iCs/>
          <w:highlight w:val="yellow"/>
        </w:rPr>
        <w:t>FFS extending DMRS design for the NOMA study</w:t>
      </w:r>
    </w:p>
    <w:p w14:paraId="49CB773D" w14:textId="77777777" w:rsidR="00970186" w:rsidRDefault="00970186" w:rsidP="00970186">
      <w:pPr>
        <w:pStyle w:val="BodyText"/>
      </w:pPr>
    </w:p>
    <w:p w14:paraId="0A87D4EB" w14:textId="066DE87D" w:rsidR="00477768" w:rsidRPr="00CE0424" w:rsidRDefault="00970186" w:rsidP="00970186">
      <w:pPr>
        <w:pStyle w:val="BodyText"/>
      </w:pPr>
      <w:r>
        <w:t xml:space="preserve">This contribution discusses high-level considerations related to </w:t>
      </w:r>
      <w:r w:rsidR="00A375B3">
        <w:t>DMRS design</w:t>
      </w:r>
      <w:r>
        <w:t xml:space="preserve"> for NoMA.  </w:t>
      </w:r>
    </w:p>
    <w:p w14:paraId="17FFE2C9" w14:textId="70D75E3C" w:rsidR="004000E8" w:rsidRDefault="00230D18" w:rsidP="00CE0424">
      <w:pPr>
        <w:pStyle w:val="Heading1"/>
      </w:pPr>
      <w:bookmarkStart w:id="0" w:name="_Ref178064866"/>
      <w:r>
        <w:t>2</w:t>
      </w:r>
      <w:r>
        <w:tab/>
      </w:r>
      <w:r w:rsidR="004000E8" w:rsidRPr="00CE0424">
        <w:t>Discussion</w:t>
      </w:r>
      <w:bookmarkEnd w:id="0"/>
    </w:p>
    <w:p w14:paraId="4EAC0153" w14:textId="7F0ADAD9" w:rsidR="00F63950" w:rsidRDefault="000666E0" w:rsidP="00F63950">
      <w:pPr>
        <w:pStyle w:val="Heading2"/>
      </w:pPr>
      <w:r>
        <w:t>2.1</w:t>
      </w:r>
      <w:r>
        <w:tab/>
      </w:r>
      <w:r w:rsidR="004D6D37">
        <w:t>DMRS for NoMA</w:t>
      </w:r>
    </w:p>
    <w:p w14:paraId="78505D31" w14:textId="1077E4AB" w:rsidR="00970186" w:rsidRDefault="00970186" w:rsidP="00970186">
      <w:pPr>
        <w:pStyle w:val="BodyText"/>
      </w:pPr>
      <w:r>
        <w:t xml:space="preserve">In orthogonal multiple access, the DMRS of different UEs are not overlapping and there is no pilot contamination. In fact, one </w:t>
      </w:r>
      <w:proofErr w:type="gramStart"/>
      <w:r>
        <w:t>has to</w:t>
      </w:r>
      <w:proofErr w:type="gramEnd"/>
      <w:r>
        <w:t xml:space="preserve"> estimate the channel only for the RE positions where a particular UE is active. Therefore, we only need to place pilots over the indices where each UE is active. In NOMA, though, multiple UEs are transmitting over the same set of resources hence we need to alleviate the impact of pilot contamination.</w:t>
      </w:r>
    </w:p>
    <w:p w14:paraId="3E140FD9" w14:textId="77777777" w:rsidR="00970186" w:rsidRPr="00834915" w:rsidRDefault="00970186" w:rsidP="00970186">
      <w:pPr>
        <w:pStyle w:val="BodyText"/>
      </w:pPr>
      <w:r>
        <w:t xml:space="preserve">A typical work-around is to employ L-length DMRS </w:t>
      </w:r>
      <m:oMath>
        <m:sSub>
          <m:sSubPr>
            <m:ctrlPr>
              <w:rPr>
                <w:rFonts w:ascii="Cambria Math" w:hAnsi="Cambria Math"/>
                <w:i/>
              </w:rPr>
            </m:ctrlPr>
          </m:sSubPr>
          <m:e>
            <m:r>
              <m:rPr>
                <m:sty m:val="bi"/>
              </m:rPr>
              <w:rPr>
                <w:rFonts w:ascii="Cambria Math" w:hAnsi="Cambria Math"/>
              </w:rPr>
              <m:t>r</m:t>
            </m:r>
            <m:ctrlPr>
              <w:rPr>
                <w:rFonts w:ascii="Cambria Math" w:hAnsi="Cambria Math"/>
                <w:b/>
                <w:i/>
              </w:rPr>
            </m:ctrlPr>
          </m:e>
          <m:sub>
            <m:r>
              <w:rPr>
                <w:rFonts w:ascii="Cambria Math" w:hAnsi="Cambria Math"/>
              </w:rPr>
              <m:t>k</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r</m:t>
                </m:r>
                <m:ctrlPr>
                  <w:rPr>
                    <w:rFonts w:ascii="Cambria Math" w:hAnsi="Cambria Math"/>
                    <w:b/>
                    <w:i/>
                  </w:rPr>
                </m:ctrlPr>
              </m:e>
              <m:sub>
                <m:r>
                  <w:rPr>
                    <w:rFonts w:ascii="Cambria Math" w:hAnsi="Cambria Math"/>
                  </w:rPr>
                  <m:t>k1</m:t>
                </m:r>
              </m:sub>
            </m:sSub>
            <m:r>
              <w:rPr>
                <w:rFonts w:ascii="Cambria Math" w:hAnsi="Cambria Math"/>
              </w:rPr>
              <m:t xml:space="preserve">… </m:t>
            </m:r>
            <m:sSub>
              <m:sSubPr>
                <m:ctrlPr>
                  <w:rPr>
                    <w:rFonts w:ascii="Cambria Math" w:hAnsi="Cambria Math"/>
                    <w:i/>
                  </w:rPr>
                </m:ctrlPr>
              </m:sSubPr>
              <m:e>
                <m:r>
                  <w:rPr>
                    <w:rFonts w:ascii="Cambria Math" w:hAnsi="Cambria Math"/>
                  </w:rPr>
                  <m:t>r</m:t>
                </m:r>
                <m:ctrlPr>
                  <w:rPr>
                    <w:rFonts w:ascii="Cambria Math" w:hAnsi="Cambria Math"/>
                    <w:b/>
                    <w:i/>
                  </w:rPr>
                </m:ctrlPr>
              </m:e>
              <m:sub>
                <m:r>
                  <w:rPr>
                    <w:rFonts w:ascii="Cambria Math" w:hAnsi="Cambria Math"/>
                  </w:rPr>
                  <m:t>kL</m:t>
                </m:r>
              </m:sub>
            </m:sSub>
          </m:e>
        </m:d>
      </m:oMath>
      <w:r>
        <w:t xml:space="preserve">  sequences that are orthogonal, i.e., </w:t>
      </w:r>
      <m:oMath>
        <m:sSubSup>
          <m:sSubSupPr>
            <m:ctrlPr>
              <w:rPr>
                <w:rFonts w:ascii="Cambria Math" w:hAnsi="Cambria Math"/>
                <w:b/>
                <w:i/>
              </w:rPr>
            </m:ctrlPr>
          </m:sSubSupPr>
          <m:e>
            <m:r>
              <m:rPr>
                <m:sty m:val="bi"/>
              </m:rPr>
              <w:rPr>
                <w:rFonts w:ascii="Cambria Math" w:hAnsi="Cambria Math"/>
              </w:rPr>
              <m:t>r</m:t>
            </m:r>
          </m:e>
          <m:sub>
            <m:r>
              <m:rPr>
                <m:sty m:val="bi"/>
              </m:rPr>
              <w:rPr>
                <w:rFonts w:ascii="Cambria Math" w:hAnsi="Cambria Math"/>
              </w:rPr>
              <m:t>i</m:t>
            </m:r>
            <m:ctrlPr>
              <w:rPr>
                <w:rFonts w:ascii="Cambria Math" w:hAnsi="Cambria Math"/>
                <w:i/>
              </w:rPr>
            </m:ctrlPr>
          </m:sub>
          <m:sup>
            <m:r>
              <w:rPr>
                <w:rFonts w:ascii="Cambria Math" w:hAnsi="Cambria Math"/>
              </w:rPr>
              <m:t>H</m:t>
            </m:r>
          </m:sup>
        </m:sSubSup>
        <m:sSub>
          <m:sSubPr>
            <m:ctrlPr>
              <w:rPr>
                <w:rFonts w:ascii="Cambria Math" w:hAnsi="Cambria Math"/>
                <w:i/>
              </w:rPr>
            </m:ctrlPr>
          </m:sSubPr>
          <m:e>
            <m:r>
              <m:rPr>
                <m:sty m:val="bi"/>
              </m:rPr>
              <w:rPr>
                <w:rFonts w:ascii="Cambria Math" w:hAnsi="Cambria Math"/>
              </w:rPr>
              <m:t>r</m:t>
            </m:r>
            <m:ctrlPr>
              <w:rPr>
                <w:rFonts w:ascii="Cambria Math" w:hAnsi="Cambria Math"/>
                <w:b/>
                <w:i/>
              </w:rPr>
            </m:ctrlPr>
          </m:e>
          <m:sub>
            <m:r>
              <m:rPr>
                <m:sty m:val="bi"/>
              </m:rPr>
              <w:rPr>
                <w:rFonts w:ascii="Cambria Math" w:hAnsi="Cambria Math"/>
              </w:rPr>
              <m:t>j</m:t>
            </m:r>
          </m:sub>
        </m:sSub>
        <m:r>
          <w:rPr>
            <w:rFonts w:ascii="Cambria Math" w:hAnsi="Cambria Math"/>
          </w:rPr>
          <m:t>=0</m:t>
        </m:r>
      </m:oMath>
      <w:r>
        <w:t xml:space="preserve"> for </w:t>
      </w:r>
      <m:oMath>
        <m:r>
          <w:rPr>
            <w:rFonts w:ascii="Cambria Math" w:hAnsi="Cambria Math"/>
          </w:rPr>
          <m:t>i≠j</m:t>
        </m:r>
      </m:oMath>
      <w:r>
        <w:t>. Orthogonality in frequency can be achieved by:</w:t>
      </w:r>
    </w:p>
    <w:p w14:paraId="22B0C9BB" w14:textId="77777777" w:rsidR="00970186" w:rsidRDefault="00970186" w:rsidP="00970186">
      <w:pPr>
        <w:pStyle w:val="BodyText"/>
        <w:keepLines/>
        <w:numPr>
          <w:ilvl w:val="0"/>
          <w:numId w:val="25"/>
        </w:numPr>
        <w:tabs>
          <w:tab w:val="left" w:pos="1247"/>
          <w:tab w:val="left" w:pos="2552"/>
          <w:tab w:val="left" w:pos="3856"/>
          <w:tab w:val="left" w:pos="5216"/>
          <w:tab w:val="left" w:pos="6464"/>
          <w:tab w:val="left" w:pos="7768"/>
          <w:tab w:val="left" w:pos="9072"/>
          <w:tab w:val="left" w:pos="10206"/>
        </w:tabs>
        <w:suppressAutoHyphens/>
        <w:overflowPunct/>
        <w:autoSpaceDE/>
        <w:adjustRightInd/>
        <w:spacing w:before="240" w:after="0"/>
      </w:pPr>
      <w:r>
        <w:lastRenderedPageBreak/>
        <w:t>Orthogonal Cover Codes (OCCs), e.g., based on Walsh-Hadamard codes, which are fundamentally orthogonal sequences.</w:t>
      </w:r>
    </w:p>
    <w:p w14:paraId="7337D2DD" w14:textId="77777777" w:rsidR="00970186" w:rsidRDefault="00970186" w:rsidP="00970186">
      <w:pPr>
        <w:pStyle w:val="BodyText"/>
        <w:keepLines/>
        <w:numPr>
          <w:ilvl w:val="0"/>
          <w:numId w:val="25"/>
        </w:numPr>
        <w:tabs>
          <w:tab w:val="left" w:pos="1247"/>
          <w:tab w:val="left" w:pos="2552"/>
          <w:tab w:val="left" w:pos="3856"/>
          <w:tab w:val="left" w:pos="5216"/>
          <w:tab w:val="left" w:pos="6464"/>
          <w:tab w:val="left" w:pos="7768"/>
          <w:tab w:val="left" w:pos="9072"/>
          <w:tab w:val="left" w:pos="10206"/>
        </w:tabs>
        <w:suppressAutoHyphens/>
        <w:overflowPunct/>
        <w:autoSpaceDE/>
        <w:adjustRightInd/>
        <w:spacing w:before="240" w:after="0"/>
      </w:pPr>
      <w:r>
        <w:t>Comb-like multiplexing, where UEs are partitioned into groups. The groups occupy different REs, whereas the intra-group UEs use or</w:t>
      </w:r>
      <w:r>
        <w:tab/>
      </w:r>
      <w:proofErr w:type="spellStart"/>
      <w:r>
        <w:t>thogonal</w:t>
      </w:r>
      <w:proofErr w:type="spellEnd"/>
      <w:r>
        <w:t xml:space="preserve"> cover codes.</w:t>
      </w:r>
    </w:p>
    <w:p w14:paraId="2118AE0C" w14:textId="77777777" w:rsidR="00C86A0C" w:rsidRDefault="00C86A0C" w:rsidP="00970186">
      <w:pPr>
        <w:pStyle w:val="BodyText"/>
      </w:pPr>
    </w:p>
    <w:p w14:paraId="3FA15083" w14:textId="408DF5BA" w:rsidR="00970186" w:rsidRDefault="00970186" w:rsidP="00970186">
      <w:pPr>
        <w:pStyle w:val="BodyText"/>
      </w:pPr>
      <w:r>
        <w:t xml:space="preserve">Let us assume the vector channel model </w:t>
      </w:r>
      <m:oMath>
        <m:r>
          <m:rPr>
            <m:sty m:val="b"/>
          </m:rPr>
          <w:rPr>
            <w:rFonts w:ascii="Cambria Math" w:hAnsi="Cambria Math"/>
            <w:lang w:val="sv-SE"/>
          </w:rPr>
          <m:t>r</m:t>
        </m:r>
        <m:r>
          <w:rPr>
            <w:rFonts w:ascii="Cambria Math" w:hAnsi="Cambria Math"/>
            <w:lang w:val="en-US"/>
          </w:rPr>
          <m:t>=</m:t>
        </m:r>
        <m:nary>
          <m:naryPr>
            <m:chr m:val="∑"/>
            <m:limLoc m:val="subSup"/>
            <m:ctrlPr>
              <w:rPr>
                <w:rFonts w:ascii="Cambria Math" w:hAnsi="Cambria Math"/>
                <w:i/>
                <w:iCs/>
                <w:lang w:val="en-US"/>
              </w:rPr>
            </m:ctrlPr>
          </m:naryPr>
          <m:sub>
            <m:r>
              <w:rPr>
                <w:rFonts w:ascii="Cambria Math" w:hAnsi="Cambria Math"/>
                <w:lang w:val="en-US"/>
              </w:rPr>
              <m:t>k=1</m:t>
            </m:r>
          </m:sub>
          <m:sup>
            <m:r>
              <w:rPr>
                <w:rFonts w:ascii="Cambria Math" w:hAnsi="Cambria Math"/>
                <w:lang w:val="en-US"/>
              </w:rPr>
              <m:t>K</m:t>
            </m:r>
          </m:sup>
          <m:e>
            <m:sSub>
              <m:sSubPr>
                <m:ctrlPr>
                  <w:rPr>
                    <w:rFonts w:ascii="Cambria Math" w:hAnsi="Cambria Math"/>
                    <w:i/>
                    <w:iCs/>
                    <w:lang w:val="en-US"/>
                  </w:rPr>
                </m:ctrlPr>
              </m:sSubPr>
              <m:e>
                <m:sSub>
                  <m:sSubPr>
                    <m:ctrlPr>
                      <w:rPr>
                        <w:rFonts w:ascii="Cambria Math" w:hAnsi="Cambria Math"/>
                        <w:i/>
                        <w:iCs/>
                        <w:lang w:val="en-US"/>
                      </w:rPr>
                    </m:ctrlPr>
                  </m:sSubPr>
                  <m:e>
                    <m:r>
                      <m:rPr>
                        <m:sty m:val="b"/>
                      </m:rPr>
                      <w:rPr>
                        <w:rFonts w:ascii="Cambria Math" w:hAnsi="Cambria Math"/>
                        <w:lang w:val="sv-SE"/>
                      </w:rPr>
                      <m:t>S</m:t>
                    </m:r>
                  </m:e>
                  <m:sub>
                    <m:r>
                      <w:rPr>
                        <w:rFonts w:ascii="Cambria Math" w:hAnsi="Cambria Math"/>
                        <w:lang w:val="en-US"/>
                      </w:rPr>
                      <m:t>k</m:t>
                    </m:r>
                  </m:sub>
                </m:sSub>
                <m:sSub>
                  <m:sSubPr>
                    <m:ctrlPr>
                      <w:rPr>
                        <w:rFonts w:ascii="Cambria Math" w:hAnsi="Cambria Math"/>
                        <w:i/>
                        <w:iCs/>
                        <w:lang w:val="en-US"/>
                      </w:rPr>
                    </m:ctrlPr>
                  </m:sSubPr>
                  <m:e>
                    <m:r>
                      <m:rPr>
                        <m:sty m:val="b"/>
                      </m:rPr>
                      <w:rPr>
                        <w:rFonts w:ascii="Cambria Math" w:hAnsi="Cambria Math"/>
                        <w:lang w:val="en-US"/>
                      </w:rPr>
                      <m:t>h</m:t>
                    </m:r>
                  </m:e>
                  <m:sub>
                    <m:r>
                      <w:rPr>
                        <w:rFonts w:ascii="Cambria Math" w:hAnsi="Cambria Math"/>
                        <w:lang w:val="en-US"/>
                      </w:rPr>
                      <m:t>k</m:t>
                    </m:r>
                  </m:sub>
                </m:sSub>
                <m:r>
                  <w:rPr>
                    <w:rFonts w:ascii="Cambria Math" w:hAnsi="Cambria Math"/>
                    <w:lang w:val="sv-SE"/>
                  </w:rPr>
                  <m:t>b</m:t>
                </m:r>
              </m:e>
              <m:sub>
                <m:r>
                  <w:rPr>
                    <w:rFonts w:ascii="Cambria Math" w:hAnsi="Cambria Math"/>
                    <w:lang w:val="en-US"/>
                  </w:rPr>
                  <m:t>k</m:t>
                </m:r>
              </m:sub>
            </m:sSub>
          </m:e>
        </m:nary>
        <m:r>
          <w:rPr>
            <w:rFonts w:ascii="Cambria Math" w:hAnsi="Cambria Math"/>
            <w:lang w:val="en-US"/>
          </w:rPr>
          <m:t>+</m:t>
        </m:r>
        <m:r>
          <m:rPr>
            <m:sty m:val="b"/>
          </m:rPr>
          <w:rPr>
            <w:rFonts w:ascii="Cambria Math" w:hAnsi="Cambria Math"/>
            <w:lang w:val="sv-SE"/>
          </w:rPr>
          <m:t>n</m:t>
        </m:r>
        <m:r>
          <m:rPr>
            <m:sty m:val="bi"/>
          </m:rPr>
          <w:rPr>
            <w:rFonts w:ascii="Cambria Math" w:hAnsi="Cambria Math"/>
            <w:lang w:val="en-US"/>
          </w:rPr>
          <m:t>,</m:t>
        </m:r>
      </m:oMath>
      <w:r w:rsidRPr="004B6F4C">
        <w:rPr>
          <w:lang w:val="en-US"/>
        </w:rPr>
        <w:t xml:space="preserve"> w</w:t>
      </w:r>
      <w:r w:rsidRPr="004B6F4C">
        <w:t xml:space="preserve">here </w:t>
      </w:r>
      <m:oMath>
        <m:sSub>
          <m:sSubPr>
            <m:ctrlPr>
              <w:rPr>
                <w:rFonts w:ascii="Cambria Math" w:hAnsi="Cambria Math"/>
                <w:i/>
                <w:iCs/>
                <w:lang w:val="en-US"/>
              </w:rPr>
            </m:ctrlPr>
          </m:sSubPr>
          <m:e>
            <m:r>
              <m:rPr>
                <m:sty m:val="bi"/>
              </m:rPr>
              <w:rPr>
                <w:rFonts w:ascii="Cambria Math" w:hAnsi="Cambria Math"/>
              </w:rPr>
              <m:t>S</m:t>
            </m:r>
          </m:e>
          <m:sub>
            <m:r>
              <m:rPr>
                <m:sty m:val="p"/>
              </m:rPr>
              <w:rPr>
                <w:rFonts w:ascii="Cambria Math" w:hAnsi="Cambria Math"/>
              </w:rPr>
              <m:t>k</m:t>
            </m:r>
          </m:sub>
        </m:sSub>
      </m:oMath>
      <w:r w:rsidRPr="004B6F4C">
        <w:t xml:space="preserve"> is a diagonal matrix with the elements of the </w:t>
      </w:r>
      <w:r>
        <w:t xml:space="preserve">signature </w:t>
      </w:r>
      <w:r w:rsidRPr="004B6F4C">
        <w:t xml:space="preserve">vector </w:t>
      </w:r>
      <m:oMath>
        <m:sSub>
          <m:sSubPr>
            <m:ctrlPr>
              <w:rPr>
                <w:rFonts w:ascii="Cambria Math" w:hAnsi="Cambria Math"/>
                <w:i/>
                <w:iCs/>
                <w:lang w:val="en-US"/>
              </w:rPr>
            </m:ctrlPr>
          </m:sSubPr>
          <m:e>
            <m:r>
              <m:rPr>
                <m:sty m:val="b"/>
              </m:rPr>
              <w:rPr>
                <w:rFonts w:ascii="Cambria Math" w:hAnsi="Cambria Math"/>
              </w:rPr>
              <m:t>s</m:t>
            </m:r>
          </m:e>
          <m:sub>
            <m:r>
              <w:rPr>
                <w:rFonts w:ascii="Cambria Math" w:hAnsi="Cambria Math"/>
              </w:rPr>
              <m:t>k</m:t>
            </m:r>
          </m:sub>
        </m:sSub>
      </m:oMath>
      <w:r w:rsidRPr="004B6F4C">
        <w:t xml:space="preserve"> on its main diagonal</w:t>
      </w:r>
      <w:r>
        <w:t xml:space="preserve">, </w:t>
      </w:r>
      <m:oMath>
        <m:sSub>
          <m:sSubPr>
            <m:ctrlPr>
              <w:rPr>
                <w:rFonts w:ascii="Cambria Math" w:hAnsi="Cambria Math"/>
                <w:i/>
              </w:rPr>
            </m:ctrlPr>
          </m:sSubPr>
          <m:e>
            <m:r>
              <w:rPr>
                <w:rFonts w:ascii="Cambria Math" w:hAnsi="Cambria Math"/>
              </w:rPr>
              <m:t>b</m:t>
            </m:r>
          </m:e>
          <m:sub>
            <m:r>
              <w:rPr>
                <w:rFonts w:ascii="Cambria Math" w:hAnsi="Cambria Math"/>
              </w:rPr>
              <m:t>k</m:t>
            </m:r>
          </m:sub>
        </m:sSub>
        <m:r>
          <w:rPr>
            <w:rFonts w:ascii="Cambria Math" w:hAnsi="Cambria Math"/>
          </w:rPr>
          <m:t xml:space="preserve"> </m:t>
        </m:r>
      </m:oMath>
      <w:r>
        <w:t xml:space="preserve">is the QAM modulated symbol, and </w:t>
      </w:r>
      <m:oMath>
        <m:sSub>
          <m:sSubPr>
            <m:ctrlPr>
              <w:rPr>
                <w:rFonts w:ascii="Cambria Math" w:hAnsi="Cambria Math"/>
                <w:i/>
              </w:rPr>
            </m:ctrlPr>
          </m:sSubPr>
          <m:e>
            <m:r>
              <w:rPr>
                <w:rFonts w:ascii="Cambria Math" w:hAnsi="Cambria Math"/>
              </w:rPr>
              <m:t>h</m:t>
            </m:r>
          </m:e>
          <m:sub>
            <m:r>
              <w:rPr>
                <w:rFonts w:ascii="Cambria Math" w:hAnsi="Cambria Math"/>
              </w:rPr>
              <m:t>k</m:t>
            </m:r>
          </m:sub>
        </m:sSub>
      </m:oMath>
      <w:r>
        <w:t xml:space="preserve"> is the channel to the k’th user. The optim</w:t>
      </w:r>
      <w:r w:rsidRPr="00713241">
        <w:t>al,</w:t>
      </w:r>
      <w:r>
        <w:t xml:space="preserve"> in the MMSE sense, channel estimator matrix </w:t>
      </w:r>
      <m:oMath>
        <m:sSubSup>
          <m:sSubSupPr>
            <m:ctrlPr>
              <w:rPr>
                <w:rFonts w:ascii="Cambria Math" w:hAnsi="Cambria Math"/>
                <w:b/>
              </w:rPr>
            </m:ctrlPr>
          </m:sSubSupPr>
          <m:e>
            <m:r>
              <m:rPr>
                <m:sty m:val="b"/>
              </m:rPr>
              <w:rPr>
                <w:rFonts w:ascii="Cambria Math" w:hAnsi="Cambria Math"/>
              </w:rPr>
              <m:t>F</m:t>
            </m:r>
          </m:e>
          <m:sub>
            <m:r>
              <m:rPr>
                <m:sty m:val="p"/>
              </m:rPr>
              <w:rPr>
                <w:rFonts w:ascii="Cambria Math" w:hAnsi="Cambria Math"/>
              </w:rPr>
              <m:t>k</m:t>
            </m:r>
          </m:sub>
          <m:sup>
            <m:r>
              <m:rPr>
                <m:sty m:val="p"/>
              </m:rPr>
              <w:rPr>
                <w:rFonts w:ascii="Cambria Math" w:hAnsi="Cambria Math"/>
              </w:rPr>
              <m:t>CE</m:t>
            </m:r>
            <m:ctrlPr>
              <w:rPr>
                <w:rFonts w:ascii="Cambria Math" w:hAnsi="Cambria Math"/>
              </w:rPr>
            </m:ctrlPr>
          </m:sup>
        </m:sSubSup>
      </m:oMath>
      <w:r>
        <w:t xml:space="preserve"> for the k-th UE’s channel </w:t>
      </w:r>
      <m:oMath>
        <m:sSub>
          <m:sSubPr>
            <m:ctrlPr>
              <w:rPr>
                <w:rFonts w:ascii="Cambria Math" w:hAnsi="Cambria Math"/>
                <w:b/>
              </w:rPr>
            </m:ctrlPr>
          </m:sSubPr>
          <m:e>
            <m:r>
              <m:rPr>
                <m:sty m:val="b"/>
              </m:rPr>
              <w:rPr>
                <w:rFonts w:ascii="Cambria Math" w:hAnsi="Cambria Math"/>
              </w:rPr>
              <m:t>h</m:t>
            </m:r>
            <m:ctrlPr>
              <w:rPr>
                <w:rFonts w:ascii="Cambria Math" w:hAnsi="Cambria Math"/>
                <w:i/>
              </w:rPr>
            </m:ctrlPr>
          </m:e>
          <m:sub>
            <m:r>
              <w:rPr>
                <w:rFonts w:ascii="Cambria Math" w:hAnsi="Cambria Math"/>
              </w:rPr>
              <m:t>k</m:t>
            </m:r>
          </m:sub>
        </m:sSub>
      </m:oMath>
      <w:r>
        <w:rPr>
          <w:b/>
        </w:rPr>
        <w:t xml:space="preserve">, </w:t>
      </w:r>
      <w:r>
        <w:t xml:space="preserve">is obtained as </w:t>
      </w:r>
      <m:oMath>
        <m:sSubSup>
          <m:sSubSupPr>
            <m:ctrlPr>
              <w:rPr>
                <w:rFonts w:ascii="Cambria Math" w:hAnsi="Cambria Math"/>
                <w:b/>
              </w:rPr>
            </m:ctrlPr>
          </m:sSubSupPr>
          <m:e>
            <m:r>
              <m:rPr>
                <m:sty m:val="b"/>
              </m:rPr>
              <w:rPr>
                <w:rFonts w:ascii="Cambria Math" w:hAnsi="Cambria Math"/>
              </w:rPr>
              <m:t>F</m:t>
            </m:r>
          </m:e>
          <m:sub>
            <m:r>
              <m:rPr>
                <m:sty m:val="p"/>
              </m:rPr>
              <w:rPr>
                <w:rFonts w:ascii="Cambria Math" w:hAnsi="Cambria Math"/>
              </w:rPr>
              <m:t>k</m:t>
            </m:r>
          </m:sub>
          <m:sup>
            <m:r>
              <m:rPr>
                <m:sty m:val="p"/>
              </m:rPr>
              <w:rPr>
                <w:rFonts w:ascii="Cambria Math" w:hAnsi="Cambria Math"/>
              </w:rPr>
              <m:t>CE</m:t>
            </m:r>
            <m:ctrlPr>
              <w:rPr>
                <w:rFonts w:ascii="Cambria Math" w:hAnsi="Cambria Math"/>
              </w:rPr>
            </m:ctrlPr>
          </m:sup>
        </m:sSubSup>
        <m:r>
          <m:rPr>
            <m:sty m:val="b"/>
          </m:rPr>
          <w:rPr>
            <w:rFonts w:ascii="Cambria Math" w:hAnsi="Cambria Math"/>
          </w:rPr>
          <m:t>≜</m:t>
        </m:r>
        <m:func>
          <m:funcPr>
            <m:ctrlPr>
              <w:rPr>
                <w:rFonts w:ascii="Cambria Math" w:hAnsi="Cambria Math"/>
              </w:rPr>
            </m:ctrlPr>
          </m:funcPr>
          <m:fName>
            <m:r>
              <m:rPr>
                <m:sty m:val="p"/>
              </m:rPr>
              <w:rPr>
                <w:rFonts w:ascii="Cambria Math" w:hAnsi="Cambria Math"/>
              </w:rPr>
              <m:t>argmin</m:t>
            </m:r>
          </m:fName>
          <m:e>
            <m:sSub>
              <m:sSubPr>
                <m:ctrlPr>
                  <w:rPr>
                    <w:rFonts w:ascii="Cambria Math" w:hAnsi="Cambria Math"/>
                  </w:rPr>
                </m:ctrlPr>
              </m:sSubPr>
              <m:e>
                <m:r>
                  <m:rPr>
                    <m:sty m:val="p"/>
                  </m:rPr>
                  <w:rPr>
                    <w:rFonts w:ascii="Cambria Math" w:hAnsi="Cambria Math"/>
                  </w:rPr>
                  <m:t>E</m:t>
                </m:r>
              </m:e>
              <m:sub>
                <m:r>
                  <m:rPr>
                    <m:sty m:val="b"/>
                  </m:rPr>
                  <w:rPr>
                    <w:rFonts w:ascii="Cambria Math" w:hAnsi="Cambria Math"/>
                  </w:rPr>
                  <m:t>h</m:t>
                </m:r>
              </m:sub>
            </m:sSub>
            <m:d>
              <m:dPr>
                <m:begChr m:val="{"/>
                <m:endChr m:val="}"/>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r>
                          <m:rPr>
                            <m:sty m:val="b"/>
                          </m:rPr>
                          <w:rPr>
                            <w:rFonts w:ascii="Cambria Math" w:hAnsi="Cambria Math"/>
                          </w:rPr>
                          <m:t>Fy</m:t>
                        </m:r>
                        <m:r>
                          <w:rPr>
                            <w:rFonts w:ascii="Cambria Math" w:hAnsi="Cambria Math"/>
                          </w:rPr>
                          <m:t>-</m:t>
                        </m:r>
                        <m:sSub>
                          <m:sSubPr>
                            <m:ctrlPr>
                              <w:rPr>
                                <w:rFonts w:ascii="Cambria Math" w:hAnsi="Cambria Math"/>
                                <w:b/>
                              </w:rPr>
                            </m:ctrlPr>
                          </m:sSubPr>
                          <m:e>
                            <m:r>
                              <m:rPr>
                                <m:sty m:val="b"/>
                              </m:rPr>
                              <w:rPr>
                                <w:rFonts w:ascii="Cambria Math" w:hAnsi="Cambria Math"/>
                              </w:rPr>
                              <m:t>h</m:t>
                            </m:r>
                            <m:ctrlPr>
                              <w:rPr>
                                <w:rFonts w:ascii="Cambria Math" w:hAnsi="Cambria Math"/>
                                <w:i/>
                              </w:rPr>
                            </m:ctrlPr>
                          </m:e>
                          <m:sub>
                            <m:r>
                              <w:rPr>
                                <w:rFonts w:ascii="Cambria Math" w:hAnsi="Cambria Math"/>
                              </w:rPr>
                              <m:t>k</m:t>
                            </m:r>
                          </m:sub>
                        </m:sSub>
                      </m:e>
                    </m:d>
                  </m:e>
                  <m:sup>
                    <m:r>
                      <w:rPr>
                        <w:rFonts w:ascii="Cambria Math" w:hAnsi="Cambria Math"/>
                      </w:rPr>
                      <m:t>2</m:t>
                    </m:r>
                  </m:sup>
                </m:sSup>
              </m:e>
            </m:d>
          </m:e>
        </m:func>
      </m:oMath>
      <w:r>
        <w:t xml:space="preserve">, where the expectation is over the channel distribution </w:t>
      </w:r>
      <m:oMath>
        <m:r>
          <m:rPr>
            <m:scr m:val="double-struck"/>
            <m:sty m:val="b"/>
          </m:rPr>
          <w:rPr>
            <w:rFonts w:ascii="Cambria Math" w:hAnsi="Cambria Math"/>
          </w:rPr>
          <m:t>C</m:t>
        </m:r>
        <m:r>
          <w:rPr>
            <w:rFonts w:ascii="Cambria Math" w:hAnsi="Cambria Math"/>
          </w:rPr>
          <m:t>N</m:t>
        </m:r>
        <m:d>
          <m:dPr>
            <m:ctrlPr>
              <w:rPr>
                <w:rFonts w:ascii="Cambria Math" w:hAnsi="Cambria Math"/>
              </w:rPr>
            </m:ctrlPr>
          </m:dPr>
          <m:e>
            <m:sSub>
              <m:sSubPr>
                <m:ctrlPr>
                  <w:rPr>
                    <w:rFonts w:ascii="Cambria Math" w:hAnsi="Cambria Math"/>
                    <w:i/>
                  </w:rPr>
                </m:ctrlPr>
              </m:sSubPr>
              <m:e>
                <m:r>
                  <m:rPr>
                    <m:sty m:val="b"/>
                  </m:rPr>
                  <w:rPr>
                    <w:rFonts w:ascii="Cambria Math" w:hAnsi="Cambria Math"/>
                  </w:rPr>
                  <m:t>0</m:t>
                </m:r>
                <m:ctrlPr>
                  <w:rPr>
                    <w:rFonts w:ascii="Cambria Math" w:hAnsi="Cambria Math"/>
                    <w:b/>
                  </w:rPr>
                </m:ctrlPr>
              </m:e>
              <m:sub>
                <m:r>
                  <w:rPr>
                    <w:rFonts w:ascii="Cambria Math" w:hAnsi="Cambria Math"/>
                  </w:rPr>
                  <m:t>N</m:t>
                </m:r>
              </m:sub>
            </m:sSub>
            <m:r>
              <w:rPr>
                <w:rFonts w:ascii="Cambria Math" w:hAnsi="Cambria Math"/>
              </w:rPr>
              <m:t>,</m:t>
            </m:r>
            <m:sSub>
              <m:sSubPr>
                <m:ctrlPr>
                  <w:rPr>
                    <w:rFonts w:ascii="Cambria Math" w:hAnsi="Cambria Math"/>
                    <w:i/>
                  </w:rPr>
                </m:ctrlPr>
              </m:sSubPr>
              <m:e>
                <m:r>
                  <m:rPr>
                    <m:sty m:val="bi"/>
                  </m:rPr>
                  <w:rPr>
                    <w:rFonts w:ascii="Cambria Math" w:hAnsi="Cambria Math"/>
                  </w:rPr>
                  <m:t>R</m:t>
                </m:r>
              </m:e>
              <m:sub>
                <m:r>
                  <w:rPr>
                    <w:rFonts w:ascii="Cambria Math" w:hAnsi="Cambria Math"/>
                  </w:rPr>
                  <m:t>k</m:t>
                </m:r>
              </m:sub>
            </m:sSub>
          </m:e>
        </m:d>
      </m:oMath>
      <w:r>
        <w:t>. It can be shown that the MMSE channel estimator is as follows</w:t>
      </w:r>
    </w:p>
    <w:p w14:paraId="2A9A7E8B" w14:textId="77777777" w:rsidR="00970186" w:rsidRDefault="00DD3F98" w:rsidP="00970186">
      <w:pPr>
        <w:pStyle w:val="BodyText"/>
        <w:jc w:val="center"/>
      </w:pPr>
      <m:oMathPara>
        <m:oMath>
          <m:sSubSup>
            <m:sSubSupPr>
              <m:ctrlPr>
                <w:rPr>
                  <w:rFonts w:ascii="Cambria Math" w:hAnsi="Cambria Math"/>
                  <w:b/>
                </w:rPr>
              </m:ctrlPr>
            </m:sSubSupPr>
            <m:e>
              <m:r>
                <m:rPr>
                  <m:sty m:val="b"/>
                </m:rPr>
                <w:rPr>
                  <w:rFonts w:ascii="Cambria Math" w:hAnsi="Cambria Math"/>
                </w:rPr>
                <m:t>F</m:t>
              </m:r>
            </m:e>
            <m:sub>
              <m:r>
                <m:rPr>
                  <m:sty m:val="p"/>
                </m:rPr>
                <w:rPr>
                  <w:rFonts w:ascii="Cambria Math" w:hAnsi="Cambria Math"/>
                </w:rPr>
                <m:t>k</m:t>
              </m:r>
            </m:sub>
            <m:sup>
              <m:r>
                <m:rPr>
                  <m:sty m:val="p"/>
                </m:rPr>
                <w:rPr>
                  <w:rFonts w:ascii="Cambria Math" w:hAnsi="Cambria Math"/>
                </w:rPr>
                <m:t>CE</m:t>
              </m:r>
              <m:ctrlPr>
                <w:rPr>
                  <w:rFonts w:ascii="Cambria Math" w:hAnsi="Cambria Math"/>
                </w:rPr>
              </m:ctrlPr>
            </m:sup>
          </m:sSubSup>
          <m:r>
            <w:rPr>
              <w:rFonts w:ascii="Cambria Math" w:hAnsi="Cambria Math"/>
            </w:rPr>
            <m:t>=</m:t>
          </m:r>
          <m:sSub>
            <m:sSubPr>
              <m:ctrlPr>
                <w:rPr>
                  <w:rFonts w:ascii="Cambria Math" w:hAnsi="Cambria Math"/>
                  <w:b/>
                  <w:i/>
                </w:rPr>
              </m:ctrlPr>
            </m:sSubPr>
            <m:e>
              <m:r>
                <m:rPr>
                  <m:sty m:val="bi"/>
                </m:rPr>
                <w:rPr>
                  <w:rFonts w:ascii="Cambria Math" w:hAnsi="Cambria Math"/>
                </w:rPr>
                <m:t>R</m:t>
              </m:r>
            </m:e>
            <m:sub>
              <m:r>
                <w:rPr>
                  <w:rFonts w:ascii="Cambria Math" w:hAnsi="Cambria Math"/>
                </w:rPr>
                <m:t>k</m:t>
              </m:r>
            </m:sub>
          </m:sSub>
          <m:sSubSup>
            <m:sSubSupPr>
              <m:ctrlPr>
                <w:rPr>
                  <w:rFonts w:ascii="Cambria Math" w:hAnsi="Cambria Math"/>
                  <w:i/>
                </w:rPr>
              </m:ctrlPr>
            </m:sSubSupPr>
            <m:e>
              <m:r>
                <m:rPr>
                  <m:sty m:val="bi"/>
                </m:rPr>
                <w:rPr>
                  <w:rFonts w:ascii="Cambria Math" w:hAnsi="Cambria Math"/>
                </w:rPr>
                <m:t>S</m:t>
              </m:r>
              <m:ctrlPr>
                <w:rPr>
                  <w:rFonts w:ascii="Cambria Math" w:hAnsi="Cambria Math"/>
                  <w:b/>
                  <w:i/>
                </w:rPr>
              </m:ctrlPr>
            </m:e>
            <m:sub>
              <m:r>
                <w:rPr>
                  <w:rFonts w:ascii="Cambria Math" w:hAnsi="Cambria Math"/>
                </w:rPr>
                <m:t>k</m:t>
              </m:r>
            </m:sub>
            <m:sup>
              <m:r>
                <w:rPr>
                  <w:rFonts w:ascii="Cambria Math" w:hAnsi="Cambria Math"/>
                </w:rPr>
                <m:t>H</m:t>
              </m:r>
            </m:sup>
          </m:sSubSup>
          <m:sSup>
            <m:sSupPr>
              <m:ctrlPr>
                <w:rPr>
                  <w:rFonts w:ascii="Cambria Math" w:hAnsi="Cambria Math"/>
                  <w:i/>
                </w:rPr>
              </m:ctrlPr>
            </m:sSupPr>
            <m:e>
              <m:d>
                <m:dPr>
                  <m:begChr m:val="["/>
                  <m:endChr m:val="]"/>
                  <m:ctrlPr>
                    <w:rPr>
                      <w:rFonts w:ascii="Cambria Math" w:hAnsi="Cambria Math"/>
                      <w:i/>
                    </w:rPr>
                  </m:ctrlPr>
                </m:dPr>
                <m:e>
                  <m:nary>
                    <m:naryPr>
                      <m:chr m:val="∑"/>
                      <m:supHide m:val="1"/>
                      <m:ctrlPr>
                        <w:rPr>
                          <w:rFonts w:ascii="Cambria Math" w:hAnsi="Cambria Math"/>
                          <w:i/>
                        </w:rPr>
                      </m:ctrlPr>
                    </m:naryPr>
                    <m:sub>
                      <m:r>
                        <w:rPr>
                          <w:rFonts w:ascii="Cambria Math" w:hAnsi="Cambria Math"/>
                        </w:rPr>
                        <m:t>k</m:t>
                      </m:r>
                    </m:sub>
                    <m:sup/>
                    <m:e>
                      <m:sSub>
                        <m:sSubPr>
                          <m:ctrlPr>
                            <w:rPr>
                              <w:rFonts w:ascii="Cambria Math" w:hAnsi="Cambria Math"/>
                              <w:b/>
                              <w:i/>
                            </w:rPr>
                          </m:ctrlPr>
                        </m:sSubPr>
                        <m:e>
                          <m:r>
                            <m:rPr>
                              <m:sty m:val="bi"/>
                            </m:rPr>
                            <w:rPr>
                              <w:rFonts w:ascii="Cambria Math" w:hAnsi="Cambria Math"/>
                            </w:rPr>
                            <m:t>S</m:t>
                          </m:r>
                        </m:e>
                        <m:sub>
                          <m:r>
                            <w:rPr>
                              <w:rFonts w:ascii="Cambria Math" w:hAnsi="Cambria Math"/>
                            </w:rPr>
                            <m:t>k</m:t>
                          </m:r>
                        </m:sub>
                      </m:sSub>
                      <m:sSub>
                        <m:sSubPr>
                          <m:ctrlPr>
                            <w:rPr>
                              <w:rFonts w:ascii="Cambria Math" w:hAnsi="Cambria Math"/>
                              <w:b/>
                              <w:i/>
                            </w:rPr>
                          </m:ctrlPr>
                        </m:sSubPr>
                        <m:e>
                          <m:r>
                            <m:rPr>
                              <m:sty m:val="bi"/>
                            </m:rPr>
                            <w:rPr>
                              <w:rFonts w:ascii="Cambria Math" w:hAnsi="Cambria Math"/>
                            </w:rPr>
                            <m:t>R</m:t>
                          </m:r>
                        </m:e>
                        <m:sub>
                          <m:r>
                            <w:rPr>
                              <w:rFonts w:ascii="Cambria Math" w:hAnsi="Cambria Math"/>
                            </w:rPr>
                            <m:t>k</m:t>
                          </m:r>
                        </m:sub>
                      </m:sSub>
                      <m:sSubSup>
                        <m:sSubSupPr>
                          <m:ctrlPr>
                            <w:rPr>
                              <w:rFonts w:ascii="Cambria Math" w:hAnsi="Cambria Math"/>
                              <w:i/>
                            </w:rPr>
                          </m:ctrlPr>
                        </m:sSubSupPr>
                        <m:e>
                          <m:r>
                            <m:rPr>
                              <m:sty m:val="bi"/>
                            </m:rPr>
                            <w:rPr>
                              <w:rFonts w:ascii="Cambria Math" w:hAnsi="Cambria Math"/>
                            </w:rPr>
                            <m:t>S</m:t>
                          </m:r>
                          <m:ctrlPr>
                            <w:rPr>
                              <w:rFonts w:ascii="Cambria Math" w:hAnsi="Cambria Math"/>
                              <w:b/>
                              <w:i/>
                            </w:rPr>
                          </m:ctrlPr>
                        </m:e>
                        <m:sub>
                          <m:r>
                            <w:rPr>
                              <w:rFonts w:ascii="Cambria Math" w:hAnsi="Cambria Math"/>
                            </w:rPr>
                            <m:t>k</m:t>
                          </m:r>
                        </m:sub>
                        <m:sup>
                          <m:r>
                            <w:rPr>
                              <w:rFonts w:ascii="Cambria Math" w:hAnsi="Cambria Math"/>
                            </w:rPr>
                            <m:t>H</m:t>
                          </m:r>
                        </m:sup>
                      </m:sSubSup>
                    </m:e>
                  </m:nary>
                  <m:r>
                    <w:rPr>
                      <w:rFonts w:ascii="Cambria Math" w:hAnsi="Cambria Math"/>
                    </w:rPr>
                    <m:t>+(1/a)</m:t>
                  </m:r>
                  <m:sSub>
                    <m:sSubPr>
                      <m:ctrlPr>
                        <w:rPr>
                          <w:rFonts w:ascii="Cambria Math" w:hAnsi="Cambria Math"/>
                          <w:i/>
                        </w:rPr>
                      </m:ctrlPr>
                    </m:sSubPr>
                    <m:e>
                      <m:r>
                        <m:rPr>
                          <m:sty m:val="bi"/>
                        </m:rPr>
                        <w:rPr>
                          <w:rFonts w:ascii="Cambria Math" w:hAnsi="Cambria Math"/>
                        </w:rPr>
                        <m:t>I</m:t>
                      </m:r>
                      <m:ctrlPr>
                        <w:rPr>
                          <w:rFonts w:ascii="Cambria Math" w:hAnsi="Cambria Math"/>
                          <w:b/>
                          <w:i/>
                        </w:rPr>
                      </m:ctrlPr>
                    </m:e>
                    <m:sub>
                      <m:r>
                        <w:rPr>
                          <w:rFonts w:ascii="Cambria Math" w:hAnsi="Cambria Math"/>
                        </w:rPr>
                        <m:t>N</m:t>
                      </m:r>
                    </m:sub>
                  </m:sSub>
                </m:e>
              </m:d>
            </m:e>
            <m:sup>
              <m:r>
                <w:rPr>
                  <w:rFonts w:ascii="Cambria Math" w:hAnsi="Cambria Math"/>
                </w:rPr>
                <m:t>-1</m:t>
              </m:r>
            </m:sup>
          </m:sSup>
        </m:oMath>
      </m:oMathPara>
    </w:p>
    <w:p w14:paraId="03F562E1" w14:textId="629E65BD" w:rsidR="00970186" w:rsidRPr="00B54E77" w:rsidRDefault="00970186" w:rsidP="00970186">
      <w:pPr>
        <w:pStyle w:val="BodyText"/>
        <w:rPr>
          <w:strike/>
          <w:color w:val="FF0000"/>
        </w:rPr>
      </w:pPr>
      <w:r>
        <w:t>Once the channel estimates are available, the remaining positions of each UE’s channel can be found via interpolation. Due to</w:t>
      </w:r>
      <w:bookmarkStart w:id="1" w:name="_GoBack"/>
      <w:bookmarkEnd w:id="1"/>
      <w:r>
        <w:t xml:space="preserve"> channel dispersion, this assumption does not hold in practise and there will always be residual interference. Inter-UE interference can be handled by a cyclic shift on the basis sequence </w:t>
      </w:r>
      <m:oMath>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r</m:t>
                </m:r>
                <m:ctrlPr>
                  <w:rPr>
                    <w:rFonts w:ascii="Cambria Math" w:hAnsi="Cambria Math"/>
                    <w:b/>
                    <w:i/>
                  </w:rPr>
                </m:ctrlPr>
              </m:e>
              <m:sub>
                <m:r>
                  <w:rPr>
                    <w:rFonts w:ascii="Cambria Math" w:hAnsi="Cambria Math"/>
                  </w:rPr>
                  <m:t>k</m:t>
                </m:r>
              </m:sub>
            </m:sSub>
          </m:e>
        </m:d>
      </m:oMath>
      <w:r>
        <w:t xml:space="preserve"> and construct a new sequence </w:t>
      </w:r>
      <m:oMath>
        <m:d>
          <m:dPr>
            <m:begChr m:val="{"/>
            <m:endChr m:val="}"/>
            <m:ctrlPr>
              <w:rPr>
                <w:rFonts w:ascii="Cambria Math" w:hAnsi="Cambria Math"/>
                <w:i/>
              </w:rPr>
            </m:ctrlPr>
          </m:dPr>
          <m:e>
            <m:sSubSup>
              <m:sSubSupPr>
                <m:ctrlPr>
                  <w:rPr>
                    <w:rFonts w:ascii="Cambria Math" w:hAnsi="Cambria Math"/>
                    <w:i/>
                  </w:rPr>
                </m:ctrlPr>
              </m:sSubSupPr>
              <m:e>
                <m:r>
                  <m:rPr>
                    <m:sty m:val="bi"/>
                  </m:rPr>
                  <w:rPr>
                    <w:rFonts w:ascii="Cambria Math" w:hAnsi="Cambria Math"/>
                  </w:rPr>
                  <m:t>r</m:t>
                </m:r>
              </m:e>
              <m:sub>
                <m:r>
                  <w:rPr>
                    <w:rFonts w:ascii="Cambria Math" w:hAnsi="Cambria Math"/>
                  </w:rPr>
                  <m:t>k</m:t>
                </m:r>
              </m:sub>
              <m:sup>
                <m:r>
                  <w:rPr>
                    <w:rFonts w:ascii="Cambria Math" w:hAnsi="Cambria Math"/>
                  </w:rPr>
                  <m:t>'</m:t>
                </m:r>
              </m:sup>
            </m:sSubSup>
          </m:e>
        </m:d>
      </m:oMath>
      <w:r>
        <w:t xml:space="preserve"> whose elements are given as  </w:t>
      </w:r>
      <m:oMath>
        <m:sSubSup>
          <m:sSubSupPr>
            <m:ctrlPr>
              <w:rPr>
                <w:rFonts w:ascii="Cambria Math" w:hAnsi="Cambria Math"/>
                <w:i/>
              </w:rPr>
            </m:ctrlPr>
          </m:sSubSupPr>
          <m:e>
            <m:r>
              <w:rPr>
                <w:rFonts w:ascii="Cambria Math" w:hAnsi="Cambria Math"/>
              </w:rPr>
              <m:t>r</m:t>
            </m:r>
          </m:e>
          <m:sub>
            <m:r>
              <w:rPr>
                <w:rFonts w:ascii="Cambria Math" w:hAnsi="Cambria Math"/>
              </w:rPr>
              <m:t>kj</m:t>
            </m:r>
          </m:sub>
          <m:sup>
            <m:r>
              <w:rPr>
                <w:rFonts w:ascii="Cambria Math" w:hAnsi="Cambria Math"/>
              </w:rPr>
              <m:t>'</m:t>
            </m:r>
          </m:sup>
        </m:sSubSup>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kj</m:t>
                </m:r>
              </m:sub>
            </m:sSub>
          </m:sup>
        </m:sSup>
        <m:sSub>
          <m:sSubPr>
            <m:ctrlPr>
              <w:rPr>
                <w:rFonts w:ascii="Cambria Math" w:hAnsi="Cambria Math"/>
                <w:i/>
              </w:rPr>
            </m:ctrlPr>
          </m:sSubPr>
          <m:e>
            <m:r>
              <w:rPr>
                <w:rFonts w:ascii="Cambria Math" w:hAnsi="Cambria Math"/>
              </w:rPr>
              <m:t>r</m:t>
            </m:r>
          </m:e>
          <m:sub>
            <m:r>
              <w:rPr>
                <w:rFonts w:ascii="Cambria Math" w:hAnsi="Cambria Math"/>
              </w:rPr>
              <m:t>kj</m:t>
            </m:r>
          </m:sub>
        </m:sSub>
      </m:oMath>
      <w:r>
        <w:t xml:space="preserve">. Note here that, for time domain CE, the base DMRS sequence is the same for all overlapping UEs; one such example are </w:t>
      </w:r>
      <w:proofErr w:type="spellStart"/>
      <w:r>
        <w:t>Zadoff</w:t>
      </w:r>
      <w:proofErr w:type="spellEnd"/>
      <w:r>
        <w:t>-Chu sequences</w:t>
      </w:r>
      <w:r>
        <w:fldChar w:fldCharType="begin"/>
      </w:r>
      <w:r>
        <w:instrText xml:space="preserve"> REF _Ref477778776 \r \h </w:instrText>
      </w:r>
      <w:r>
        <w:fldChar w:fldCharType="end"/>
      </w:r>
      <w:r>
        <w:t xml:space="preserve">, which are constant-modulus and possess good autocorrelation properties. </w:t>
      </w:r>
    </w:p>
    <w:p w14:paraId="657A3876" w14:textId="7D38A2F6" w:rsidR="00312631" w:rsidRDefault="00664883" w:rsidP="00312631">
      <w:pPr>
        <w:pStyle w:val="BodyText"/>
      </w:pPr>
      <w:r w:rsidRPr="00D10A4D">
        <w:t xml:space="preserve">In legacy NR, </w:t>
      </w:r>
      <w:r w:rsidR="00D10A4D" w:rsidRPr="00D10A4D">
        <w:t>DMRS generation in NR supports both orthogonal and non-orthogonal DMRS generation, as can be understood by 3GPP TS 38.211, section 6.4.1.1.1.1</w:t>
      </w:r>
      <w:r w:rsidR="006B2B46">
        <w:t>.</w:t>
      </w:r>
      <w:r w:rsidR="008C69DA">
        <w:t xml:space="preserve"> </w:t>
      </w:r>
      <w:r w:rsidR="000D554A">
        <w:t xml:space="preserve">For CP-OFDM, </w:t>
      </w:r>
      <w:r w:rsidR="005926F5">
        <w:t xml:space="preserve">the DMRS sequence is generated </w:t>
      </w:r>
      <w:r w:rsidR="00312631">
        <w:t xml:space="preserve">based on </w:t>
      </w:r>
      <w:r w:rsidR="008C55BC">
        <w:t>a</w:t>
      </w:r>
      <w:r w:rsidR="00312631">
        <w:t xml:space="preserve"> pseudo-random sequence </w:t>
      </w:r>
      <w:r w:rsidR="002308DB">
        <w:t>which</w:t>
      </w:r>
      <w:r w:rsidR="00312631">
        <w:t xml:space="preserve"> shall be initialized with</w:t>
      </w:r>
    </w:p>
    <w:p w14:paraId="1CD4FAC9" w14:textId="77777777" w:rsidR="00312631" w:rsidRDefault="00312631" w:rsidP="00312631">
      <w:pPr>
        <w:pStyle w:val="BodyText"/>
        <w:jc w:val="center"/>
      </w:pPr>
      <w:r w:rsidRPr="00312631">
        <w:object w:dxaOrig="5160" w:dyaOrig="420" w14:anchorId="7ECEFA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1pt;height:21.5pt" o:ole="">
            <v:imagedata r:id="rId8" o:title=""/>
          </v:shape>
          <o:OLEObject Type="Embed" ProgID="Equation.DSMT4" ShapeID="_x0000_i1025" DrawAspect="Content" ObjectID="_1595422966" r:id="rId9"/>
        </w:object>
      </w:r>
    </w:p>
    <w:p w14:paraId="451D2165" w14:textId="638CCDE3" w:rsidR="00883602" w:rsidRPr="00D10A4D" w:rsidRDefault="005B3FBA" w:rsidP="00D10A4D">
      <w:pPr>
        <w:pStyle w:val="BodyText"/>
      </w:pPr>
      <w:r>
        <w:t>Where t</w:t>
      </w:r>
      <w:r w:rsidRPr="00E71D42">
        <w:t xml:space="preserve">he quantity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m:t>
        </m:r>
        <m:d>
          <m:dPr>
            <m:begChr m:val="{"/>
            <m:endChr m:val="}"/>
            <m:ctrlPr>
              <w:rPr>
                <w:rFonts w:ascii="Cambria Math" w:hAnsi="Cambria Math"/>
                <w:i/>
              </w:rPr>
            </m:ctrlPr>
          </m:dPr>
          <m:e>
            <m:r>
              <w:rPr>
                <w:rFonts w:ascii="Cambria Math" w:hAnsi="Cambria Math"/>
              </w:rPr>
              <m:t>0,1</m:t>
            </m:r>
          </m:e>
        </m:d>
      </m:oMath>
      <w:r w:rsidRPr="00E71D42">
        <w:t xml:space="preserve"> is indicated by the DM-RS initialization field, if present, in the DCI associated with the PUSCH transmission if DCI format 0_1 is used, otherwise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rsidRPr="00E71D42">
        <w:t>.</w:t>
      </w:r>
    </w:p>
    <w:p w14:paraId="7F546F0F" w14:textId="60110895" w:rsidR="00883602" w:rsidRPr="00E94E43" w:rsidRDefault="005B3FBA" w:rsidP="00067346">
      <w:pPr>
        <w:pStyle w:val="BodyText"/>
      </w:pPr>
      <w:r>
        <w:t xml:space="preserve">To </w:t>
      </w:r>
      <w:r w:rsidR="009B6C61">
        <w:t xml:space="preserve">support </w:t>
      </w:r>
      <w:r w:rsidR="00067346">
        <w:t>signature specific DMRS sequence, a signature specific scrambling ID can</w:t>
      </w:r>
      <w:r w:rsidR="00F863BD">
        <w:t xml:space="preserve"> also</w:t>
      </w:r>
      <w:r w:rsidR="00067346">
        <w:t xml:space="preserve"> be </w:t>
      </w:r>
      <w:r w:rsidR="00546B72">
        <w:t>applied</w:t>
      </w:r>
      <w:r w:rsidR="00067346">
        <w:t xml:space="preserve"> for DMRS sequence generation.</w:t>
      </w:r>
    </w:p>
    <w:p w14:paraId="72431124" w14:textId="2F613704" w:rsidR="00C11B38" w:rsidRDefault="00C11B38" w:rsidP="00C11B38">
      <w:pPr>
        <w:pStyle w:val="Observation"/>
        <w:overflowPunct/>
        <w:autoSpaceDE/>
        <w:autoSpaceDN/>
        <w:adjustRightInd/>
        <w:spacing w:before="120" w:after="160" w:line="259" w:lineRule="auto"/>
        <w:ind w:left="1701" w:hanging="1701"/>
        <w:jc w:val="left"/>
        <w:textAlignment w:val="auto"/>
      </w:pPr>
      <w:bookmarkStart w:id="2" w:name="_Ref521424613"/>
      <w:r>
        <w:t xml:space="preserve">DMRS sequences with </w:t>
      </w:r>
      <w:r w:rsidR="00C86A0C">
        <w:t xml:space="preserve">different cyclic shifts and/or different </w:t>
      </w:r>
      <w:r>
        <w:t>scrambling ID</w:t>
      </w:r>
      <w:r w:rsidR="00C86A0C">
        <w:t xml:space="preserve">s can be used to maximize the number of NOMA UEs that can </w:t>
      </w:r>
      <w:r w:rsidR="00A86768">
        <w:t>be co-multiplexed</w:t>
      </w:r>
      <w:bookmarkEnd w:id="2"/>
    </w:p>
    <w:p w14:paraId="1215E80A" w14:textId="77777777" w:rsidR="00C473A5" w:rsidRDefault="00C473A5" w:rsidP="005A1D40">
      <w:pPr>
        <w:pStyle w:val="Heading1"/>
        <w:ind w:left="0" w:firstLine="0"/>
        <w:sectPr w:rsidR="00C473A5" w:rsidSect="00590C61">
          <w:headerReference w:type="even" r:id="rId10"/>
          <w:footerReference w:type="default" r:id="rId11"/>
          <w:footnotePr>
            <w:numRestart w:val="eachSect"/>
          </w:footnotePr>
          <w:type w:val="continuous"/>
          <w:pgSz w:w="11907" w:h="16840" w:code="9"/>
          <w:pgMar w:top="1134" w:right="1134" w:bottom="1134" w:left="1134" w:header="680" w:footer="567" w:gutter="0"/>
          <w:cols w:space="720"/>
          <w:docGrid w:linePitch="272"/>
        </w:sectPr>
      </w:pPr>
    </w:p>
    <w:p w14:paraId="6D7387B2" w14:textId="1CACBBC5" w:rsidR="00C01F33" w:rsidRPr="00CE0424" w:rsidRDefault="00E73057" w:rsidP="00CE0424">
      <w:pPr>
        <w:pStyle w:val="Heading1"/>
      </w:pPr>
      <w:r>
        <w:t>3</w:t>
      </w:r>
      <w:r>
        <w:tab/>
      </w:r>
      <w:r w:rsidR="00C01F33" w:rsidRPr="00CE0424">
        <w:t>Conclusion</w:t>
      </w:r>
    </w:p>
    <w:p w14:paraId="38A95B60" w14:textId="4C189647" w:rsidR="00E73057" w:rsidRDefault="00E73057" w:rsidP="00E73057">
      <w:pPr>
        <w:pStyle w:val="BodyText"/>
      </w:pPr>
      <w:r>
        <w:t xml:space="preserve">In section 2, the following observations and proposals were made: </w:t>
      </w:r>
    </w:p>
    <w:p w14:paraId="3C944971" w14:textId="157AEE87" w:rsidR="00E07760" w:rsidRPr="000D0DC5" w:rsidRDefault="002A010B" w:rsidP="00AA548F">
      <w:pPr>
        <w:pStyle w:val="Observation"/>
        <w:numPr>
          <w:ilvl w:val="0"/>
          <w:numId w:val="0"/>
        </w:numPr>
        <w:overflowPunct/>
        <w:autoSpaceDE/>
        <w:autoSpaceDN/>
        <w:adjustRightInd/>
        <w:spacing w:before="120" w:after="160" w:line="259" w:lineRule="auto"/>
        <w:ind w:left="1695" w:hanging="1695"/>
        <w:jc w:val="left"/>
        <w:textAlignment w:val="auto"/>
      </w:pPr>
      <w:r>
        <w:rPr>
          <w:b w:val="0"/>
          <w:bCs w:val="0"/>
        </w:rPr>
        <w:fldChar w:fldCharType="begin"/>
      </w:r>
      <w:r>
        <w:instrText xml:space="preserve"> REF _Ref521424613 \r \h </w:instrText>
      </w:r>
      <w:r>
        <w:rPr>
          <w:b w:val="0"/>
          <w:bCs w:val="0"/>
        </w:rPr>
      </w:r>
      <w:r>
        <w:rPr>
          <w:b w:val="0"/>
          <w:bCs w:val="0"/>
        </w:rPr>
        <w:fldChar w:fldCharType="separate"/>
      </w:r>
      <w:r>
        <w:t>Observation 1</w:t>
      </w:r>
      <w:r>
        <w:rPr>
          <w:b w:val="0"/>
          <w:bCs w:val="0"/>
        </w:rPr>
        <w:fldChar w:fldCharType="end"/>
      </w:r>
      <w:r>
        <w:tab/>
      </w:r>
      <w:r>
        <w:rPr>
          <w:b w:val="0"/>
          <w:bCs w:val="0"/>
        </w:rPr>
        <w:fldChar w:fldCharType="begin"/>
      </w:r>
      <w:r>
        <w:instrText xml:space="preserve"> REF _Ref521424613 \h </w:instrText>
      </w:r>
      <w:r>
        <w:rPr>
          <w:b w:val="0"/>
          <w:bCs w:val="0"/>
        </w:rPr>
      </w:r>
      <w:r>
        <w:rPr>
          <w:b w:val="0"/>
          <w:bCs w:val="0"/>
        </w:rPr>
        <w:fldChar w:fldCharType="separate"/>
      </w:r>
      <w:r w:rsidR="00AA548F">
        <w:t>DMRS sequences with different cyclic shifts and/or different scrambling IDs can be used to maximize the number of NOMA UEs that can be co-multiplexed</w:t>
      </w:r>
      <w:r>
        <w:rPr>
          <w:b w:val="0"/>
          <w:bCs w:val="0"/>
        </w:rPr>
        <w:fldChar w:fldCharType="end"/>
      </w:r>
    </w:p>
    <w:p w14:paraId="7BED45C8" w14:textId="77777777" w:rsidR="00F507D1" w:rsidRPr="00CE0424" w:rsidRDefault="00F507D1" w:rsidP="00CE0424">
      <w:pPr>
        <w:pStyle w:val="Heading1"/>
      </w:pPr>
      <w:bookmarkStart w:id="3" w:name="_In-sequence_SDU_delivery"/>
      <w:bookmarkEnd w:id="3"/>
      <w:r w:rsidRPr="00CE0424">
        <w:t>References</w:t>
      </w:r>
    </w:p>
    <w:p w14:paraId="1CA8B9AC" w14:textId="3E5FA633" w:rsidR="0088743F" w:rsidRPr="00ED364B" w:rsidRDefault="005E49C3" w:rsidP="009E7B52">
      <w:pPr>
        <w:pStyle w:val="Reference"/>
      </w:pPr>
      <w:bookmarkStart w:id="4" w:name="_Ref521665283"/>
      <w:bookmarkStart w:id="5" w:name="_Ref174151459"/>
      <w:bookmarkStart w:id="6" w:name="_Ref189809556"/>
      <w:r>
        <w:t>C</w:t>
      </w:r>
      <w:r w:rsidR="00B93D4E">
        <w:t xml:space="preserve">hairman </w:t>
      </w:r>
      <w:r w:rsidR="00E93BCD">
        <w:t>N</w:t>
      </w:r>
      <w:r w:rsidR="00B93D4E">
        <w:t>otes</w:t>
      </w:r>
      <w:r w:rsidR="00303191">
        <w:t>,</w:t>
      </w:r>
      <w:r w:rsidR="00DF6536">
        <w:t xml:space="preserve"> 3GPP RAN1 #9</w:t>
      </w:r>
      <w:r w:rsidR="00303191">
        <w:t>3, Busan, Korea, May 21</w:t>
      </w:r>
      <w:r w:rsidR="00E93BCD">
        <w:t xml:space="preserve">-25, </w:t>
      </w:r>
      <w:r w:rsidR="00303191">
        <w:t>2018</w:t>
      </w:r>
      <w:r w:rsidR="00AB708A">
        <w:t>.</w:t>
      </w:r>
      <w:bookmarkEnd w:id="4"/>
    </w:p>
    <w:p w14:paraId="4C802991" w14:textId="3EA2F8C2" w:rsidR="005F3025" w:rsidRPr="00CE0424" w:rsidRDefault="005F3025" w:rsidP="009C2704">
      <w:pPr>
        <w:pStyle w:val="Reference"/>
        <w:numPr>
          <w:ilvl w:val="0"/>
          <w:numId w:val="0"/>
        </w:numPr>
        <w:ind w:left="567"/>
      </w:pPr>
    </w:p>
    <w:bookmarkEnd w:id="5"/>
    <w:bookmarkEnd w:id="6"/>
    <w:p w14:paraId="6BC78D38" w14:textId="77777777" w:rsidR="003A7EF3" w:rsidRPr="00CE0424" w:rsidRDefault="003A7EF3" w:rsidP="00CE0424">
      <w:pPr>
        <w:pStyle w:val="BodyText"/>
      </w:pPr>
    </w:p>
    <w:sectPr w:rsidR="003A7EF3" w:rsidRPr="00CE0424" w:rsidSect="00590C61">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791433" w14:textId="77777777" w:rsidR="00DD3F98" w:rsidRDefault="00DD3F98">
      <w:r>
        <w:separator/>
      </w:r>
    </w:p>
  </w:endnote>
  <w:endnote w:type="continuationSeparator" w:id="0">
    <w:p w14:paraId="6CD5461F" w14:textId="77777777" w:rsidR="00DD3F98" w:rsidRDefault="00DD3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669BF" w14:textId="2B6D133D" w:rsidR="005C3612" w:rsidRDefault="005C361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2377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23775">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FE7E94" w14:textId="77777777" w:rsidR="00DD3F98" w:rsidRDefault="00DD3F98">
      <w:r>
        <w:separator/>
      </w:r>
    </w:p>
  </w:footnote>
  <w:footnote w:type="continuationSeparator" w:id="0">
    <w:p w14:paraId="031CDE30" w14:textId="77777777" w:rsidR="00DD3F98" w:rsidRDefault="00DD3F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DDE22" w14:textId="77777777" w:rsidR="005C3612" w:rsidRDefault="005C361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8E5082"/>
    <w:multiLevelType w:val="hybridMultilevel"/>
    <w:tmpl w:val="6736F670"/>
    <w:lvl w:ilvl="0" w:tplc="D6EA8B9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FC6074"/>
    <w:multiLevelType w:val="hybridMultilevel"/>
    <w:tmpl w:val="9C0882B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4DF1E7C"/>
    <w:multiLevelType w:val="hybridMultilevel"/>
    <w:tmpl w:val="5F1AC3CA"/>
    <w:lvl w:ilvl="0" w:tplc="54EEB79A">
      <w:start w:val="1"/>
      <w:numFmt w:val="bullet"/>
      <w:lvlText w:val=""/>
      <w:lvlJc w:val="left"/>
      <w:pPr>
        <w:ind w:left="420" w:hanging="420"/>
      </w:pPr>
      <w:rPr>
        <w:rFonts w:ascii="Symbol" w:hAnsi="Symbol" w:hint="default"/>
        <w:sz w:val="20"/>
        <w:szCs w:val="20"/>
      </w:rPr>
    </w:lvl>
    <w:lvl w:ilvl="1" w:tplc="54EEB79A">
      <w:start w:val="1"/>
      <w:numFmt w:val="bullet"/>
      <w:lvlText w:val=""/>
      <w:lvlJc w:val="left"/>
      <w:pPr>
        <w:ind w:left="840" w:hanging="420"/>
      </w:pPr>
      <w:rPr>
        <w:rFonts w:ascii="Symbol" w:hAnsi="Symbol" w:hint="default"/>
        <w:sz w:val="20"/>
        <w:szCs w:val="2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4F093F"/>
    <w:multiLevelType w:val="multilevel"/>
    <w:tmpl w:val="BE067F32"/>
    <w:styleLink w:val="WWOutlineListStyle11"/>
    <w:lvl w:ilvl="0">
      <w:start w:val="1"/>
      <w:numFmt w:val="decimal"/>
      <w:lvlText w:val="%1"/>
      <w:lvlJc w:val="left"/>
      <w:pPr>
        <w:ind w:left="2551" w:hanging="1304"/>
      </w:pPr>
      <w:rPr>
        <w:u w:val="none"/>
      </w:rPr>
    </w:lvl>
    <w:lvl w:ilvl="1">
      <w:start w:val="1"/>
      <w:numFmt w:val="decimal"/>
      <w:lvlText w:val="%1.%2"/>
      <w:lvlJc w:val="left"/>
      <w:pPr>
        <w:ind w:left="2551" w:hanging="1304"/>
      </w:pPr>
      <w:rPr>
        <w:u w:val="none"/>
      </w:rPr>
    </w:lvl>
    <w:lvl w:ilvl="2">
      <w:start w:val="1"/>
      <w:numFmt w:val="decimal"/>
      <w:lvlText w:val="%1.%2.%3"/>
      <w:lvlJc w:val="left"/>
      <w:pPr>
        <w:ind w:left="5841" w:hanging="1304"/>
      </w:pPr>
      <w:rPr>
        <w:u w:val="none"/>
      </w:rPr>
    </w:lvl>
    <w:lvl w:ilvl="3">
      <w:start w:val="1"/>
      <w:numFmt w:val="decimal"/>
      <w:lvlText w:val="%1.%2.%3.%4"/>
      <w:lvlJc w:val="left"/>
      <w:pPr>
        <w:ind w:left="2551" w:hanging="1304"/>
      </w:pPr>
      <w:rPr>
        <w:u w:val="none"/>
      </w:rPr>
    </w:lvl>
    <w:lvl w:ilvl="4">
      <w:start w:val="1"/>
      <w:numFmt w:val="decimal"/>
      <w:lvlText w:val="%1.%2.%3.%4.%5"/>
      <w:lvlJc w:val="left"/>
      <w:pPr>
        <w:ind w:left="2552" w:hanging="1248"/>
      </w:pPr>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54278D"/>
    <w:multiLevelType w:val="hybridMultilevel"/>
    <w:tmpl w:val="15E2D4E6"/>
    <w:lvl w:ilvl="0" w:tplc="54EEB79A">
      <w:start w:val="1"/>
      <w:numFmt w:val="bullet"/>
      <w:lvlText w:val=""/>
      <w:lvlJc w:val="left"/>
      <w:pPr>
        <w:ind w:left="420" w:hanging="420"/>
      </w:pPr>
      <w:rPr>
        <w:rFonts w:ascii="Symbol" w:hAnsi="Symbol"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6C4346"/>
    <w:multiLevelType w:val="hybridMultilevel"/>
    <w:tmpl w:val="4294B550"/>
    <w:lvl w:ilvl="0" w:tplc="54EEB79A">
      <w:start w:val="1"/>
      <w:numFmt w:val="bullet"/>
      <w:lvlText w:val=""/>
      <w:lvlJc w:val="left"/>
      <w:pPr>
        <w:ind w:left="840" w:hanging="420"/>
      </w:pPr>
      <w:rPr>
        <w:rFonts w:ascii="Symbol" w:hAnsi="Symbol" w:hint="default"/>
        <w:sz w:val="20"/>
        <w:szCs w:val="20"/>
      </w:rPr>
    </w:lvl>
    <w:lvl w:ilvl="1" w:tplc="94B4423C">
      <w:start w:val="1"/>
      <w:numFmt w:val="bullet"/>
      <w:lvlText w:val="o"/>
      <w:lvlJc w:val="left"/>
      <w:pPr>
        <w:ind w:left="1260" w:hanging="420"/>
      </w:pPr>
      <w:rPr>
        <w:rFonts w:ascii="Courier New" w:hAnsi="Courier New" w:cs="Courier New" w:hint="default"/>
      </w:rPr>
    </w:lvl>
    <w:lvl w:ilvl="2" w:tplc="54EEB79A">
      <w:start w:val="1"/>
      <w:numFmt w:val="bullet"/>
      <w:lvlText w:val=""/>
      <w:lvlJc w:val="left"/>
      <w:pPr>
        <w:ind w:left="1680" w:hanging="420"/>
      </w:pPr>
      <w:rPr>
        <w:rFonts w:ascii="Symbol" w:hAnsi="Symbol" w:hint="default"/>
        <w:sz w:val="20"/>
        <w:szCs w:val="20"/>
      </w:rPr>
    </w:lvl>
    <w:lvl w:ilvl="3" w:tplc="54EEB79A">
      <w:start w:val="1"/>
      <w:numFmt w:val="bullet"/>
      <w:lvlText w:val=""/>
      <w:lvlJc w:val="left"/>
      <w:pPr>
        <w:ind w:left="2100" w:hanging="420"/>
      </w:pPr>
      <w:rPr>
        <w:rFonts w:ascii="Symbol" w:hAnsi="Symbol" w:hint="default"/>
        <w:sz w:val="20"/>
        <w:szCs w:val="20"/>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7C760FE"/>
    <w:multiLevelType w:val="hybridMultilevel"/>
    <w:tmpl w:val="A4CA4826"/>
    <w:lvl w:ilvl="0" w:tplc="258E3A02">
      <w:start w:val="1"/>
      <w:numFmt w:val="decimal"/>
      <w:lvlText w:val="[%1]"/>
      <w:lvlJc w:val="left"/>
      <w:pPr>
        <w:ind w:left="360" w:hanging="360"/>
      </w:pPr>
      <w:rPr>
        <w:rFonts w:hint="default"/>
        <w:sz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4ADA4EEE"/>
    <w:multiLevelType w:val="hybridMultilevel"/>
    <w:tmpl w:val="CB7E5D94"/>
    <w:lvl w:ilvl="0" w:tplc="54EEB79A">
      <w:start w:val="1"/>
      <w:numFmt w:val="bullet"/>
      <w:lvlText w:val=""/>
      <w:lvlJc w:val="left"/>
      <w:pPr>
        <w:ind w:left="840" w:hanging="420"/>
      </w:pPr>
      <w:rPr>
        <w:rFonts w:ascii="Symbol" w:hAnsi="Symbol" w:hint="default"/>
        <w:sz w:val="20"/>
        <w:szCs w:val="20"/>
      </w:rPr>
    </w:lvl>
    <w:lvl w:ilvl="1" w:tplc="54EEB79A">
      <w:start w:val="1"/>
      <w:numFmt w:val="bullet"/>
      <w:lvlText w:val=""/>
      <w:lvlJc w:val="left"/>
      <w:pPr>
        <w:ind w:left="1260" w:hanging="420"/>
      </w:pPr>
      <w:rPr>
        <w:rFonts w:ascii="Symbol" w:hAnsi="Symbol" w:hint="default"/>
        <w:sz w:val="20"/>
        <w:szCs w:val="20"/>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239A10FA"/>
    <w:lvl w:ilvl="0" w:tplc="F274D51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57328D3"/>
    <w:multiLevelType w:val="hybridMultilevel"/>
    <w:tmpl w:val="C83E6870"/>
    <w:lvl w:ilvl="0" w:tplc="041D001B">
      <w:start w:val="1"/>
      <w:numFmt w:val="lowerRoman"/>
      <w:lvlText w:val="%1."/>
      <w:lvlJc w:val="right"/>
      <w:pPr>
        <w:ind w:left="2024" w:hanging="360"/>
      </w:pPr>
    </w:lvl>
    <w:lvl w:ilvl="1" w:tplc="041D0019" w:tentative="1">
      <w:start w:val="1"/>
      <w:numFmt w:val="lowerLetter"/>
      <w:lvlText w:val="%2."/>
      <w:lvlJc w:val="left"/>
      <w:pPr>
        <w:ind w:left="2744" w:hanging="360"/>
      </w:pPr>
    </w:lvl>
    <w:lvl w:ilvl="2" w:tplc="041D001B" w:tentative="1">
      <w:start w:val="1"/>
      <w:numFmt w:val="lowerRoman"/>
      <w:lvlText w:val="%3."/>
      <w:lvlJc w:val="right"/>
      <w:pPr>
        <w:ind w:left="3464" w:hanging="180"/>
      </w:pPr>
    </w:lvl>
    <w:lvl w:ilvl="3" w:tplc="041D000F" w:tentative="1">
      <w:start w:val="1"/>
      <w:numFmt w:val="decimal"/>
      <w:lvlText w:val="%4."/>
      <w:lvlJc w:val="left"/>
      <w:pPr>
        <w:ind w:left="4184" w:hanging="360"/>
      </w:pPr>
    </w:lvl>
    <w:lvl w:ilvl="4" w:tplc="041D0019" w:tentative="1">
      <w:start w:val="1"/>
      <w:numFmt w:val="lowerLetter"/>
      <w:lvlText w:val="%5."/>
      <w:lvlJc w:val="left"/>
      <w:pPr>
        <w:ind w:left="4904" w:hanging="360"/>
      </w:pPr>
    </w:lvl>
    <w:lvl w:ilvl="5" w:tplc="041D001B" w:tentative="1">
      <w:start w:val="1"/>
      <w:numFmt w:val="lowerRoman"/>
      <w:lvlText w:val="%6."/>
      <w:lvlJc w:val="right"/>
      <w:pPr>
        <w:ind w:left="5624" w:hanging="180"/>
      </w:pPr>
    </w:lvl>
    <w:lvl w:ilvl="6" w:tplc="041D000F" w:tentative="1">
      <w:start w:val="1"/>
      <w:numFmt w:val="decimal"/>
      <w:lvlText w:val="%7."/>
      <w:lvlJc w:val="left"/>
      <w:pPr>
        <w:ind w:left="6344" w:hanging="360"/>
      </w:pPr>
    </w:lvl>
    <w:lvl w:ilvl="7" w:tplc="041D0019" w:tentative="1">
      <w:start w:val="1"/>
      <w:numFmt w:val="lowerLetter"/>
      <w:lvlText w:val="%8."/>
      <w:lvlJc w:val="left"/>
      <w:pPr>
        <w:ind w:left="7064" w:hanging="360"/>
      </w:pPr>
    </w:lvl>
    <w:lvl w:ilvl="8" w:tplc="041D001B" w:tentative="1">
      <w:start w:val="1"/>
      <w:numFmt w:val="lowerRoman"/>
      <w:lvlText w:val="%9."/>
      <w:lvlJc w:val="right"/>
      <w:pPr>
        <w:ind w:left="7784" w:hanging="180"/>
      </w:p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39912FB"/>
    <w:multiLevelType w:val="hybridMultilevel"/>
    <w:tmpl w:val="D6E6DEA2"/>
    <w:lvl w:ilvl="0" w:tplc="54EEB79A">
      <w:start w:val="1"/>
      <w:numFmt w:val="bullet"/>
      <w:lvlText w:val=""/>
      <w:lvlJc w:val="left"/>
      <w:pPr>
        <w:ind w:left="420" w:hanging="420"/>
      </w:pPr>
      <w:rPr>
        <w:rFonts w:ascii="Symbol" w:hAnsi="Symbol" w:hint="default"/>
        <w:sz w:val="20"/>
        <w:szCs w:val="20"/>
      </w:rPr>
    </w:lvl>
    <w:lvl w:ilvl="1" w:tplc="54EEB79A">
      <w:start w:val="1"/>
      <w:numFmt w:val="bullet"/>
      <w:lvlText w:val=""/>
      <w:lvlJc w:val="left"/>
      <w:pPr>
        <w:ind w:left="840" w:hanging="420"/>
      </w:pPr>
      <w:rPr>
        <w:rFonts w:ascii="Symbol" w:hAnsi="Symbol" w:hint="default"/>
        <w:sz w:val="20"/>
        <w:szCs w:val="2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3"/>
  </w:num>
  <w:num w:numId="3">
    <w:abstractNumId w:val="14"/>
  </w:num>
  <w:num w:numId="4">
    <w:abstractNumId w:val="16"/>
  </w:num>
  <w:num w:numId="5">
    <w:abstractNumId w:val="10"/>
  </w:num>
  <w:num w:numId="6">
    <w:abstractNumId w:val="18"/>
  </w:num>
  <w:num w:numId="7">
    <w:abstractNumId w:val="26"/>
  </w:num>
  <w:num w:numId="8">
    <w:abstractNumId w:val="11"/>
  </w:num>
  <w:num w:numId="9">
    <w:abstractNumId w:val="9"/>
  </w:num>
  <w:num w:numId="10">
    <w:abstractNumId w:val="2"/>
  </w:num>
  <w:num w:numId="11">
    <w:abstractNumId w:val="1"/>
  </w:num>
  <w:num w:numId="12">
    <w:abstractNumId w:val="0"/>
  </w:num>
  <w:num w:numId="13">
    <w:abstractNumId w:val="24"/>
  </w:num>
  <w:num w:numId="14">
    <w:abstractNumId w:val="25"/>
  </w:num>
  <w:num w:numId="15">
    <w:abstractNumId w:val="17"/>
  </w:num>
  <w:num w:numId="16">
    <w:abstractNumId w:val="27"/>
  </w:num>
  <w:num w:numId="17">
    <w:abstractNumId w:val="6"/>
  </w:num>
  <w:num w:numId="18">
    <w:abstractNumId w:val="7"/>
  </w:num>
  <w:num w:numId="19">
    <w:abstractNumId w:val="5"/>
  </w:num>
  <w:num w:numId="20">
    <w:abstractNumId w:val="31"/>
  </w:num>
  <w:num w:numId="21">
    <w:abstractNumId w:val="12"/>
  </w:num>
  <w:num w:numId="22">
    <w:abstractNumId w:val="29"/>
  </w:num>
  <w:num w:numId="23">
    <w:abstractNumId w:val="8"/>
  </w:num>
  <w:num w:numId="24">
    <w:abstractNumId w:val="24"/>
  </w:num>
  <w:num w:numId="25">
    <w:abstractNumId w:val="28"/>
  </w:num>
  <w:num w:numId="26">
    <w:abstractNumId w:val="15"/>
  </w:num>
  <w:num w:numId="27">
    <w:abstractNumId w:val="24"/>
    <w:lvlOverride w:ilvl="0">
      <w:startOverride w:val="1"/>
    </w:lvlOverride>
  </w:num>
  <w:num w:numId="28">
    <w:abstractNumId w:val="21"/>
  </w:num>
  <w:num w:numId="29">
    <w:abstractNumId w:val="14"/>
    <w:lvlOverride w:ilvl="0">
      <w:startOverride w:val="1"/>
    </w:lvlOverride>
  </w:num>
  <w:num w:numId="30">
    <w:abstractNumId w:val="24"/>
    <w:lvlOverride w:ilvl="0">
      <w:startOverride w:val="1"/>
    </w:lvlOverride>
  </w:num>
  <w:num w:numId="31">
    <w:abstractNumId w:val="4"/>
  </w:num>
  <w:num w:numId="32">
    <w:abstractNumId w:val="20"/>
  </w:num>
  <w:num w:numId="33">
    <w:abstractNumId w:val="22"/>
  </w:num>
  <w:num w:numId="34">
    <w:abstractNumId w:val="19"/>
  </w:num>
  <w:num w:numId="35">
    <w:abstractNumId w:val="13"/>
  </w:num>
  <w:num w:numId="36">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C34"/>
    <w:rsid w:val="000006E1"/>
    <w:rsid w:val="00002A37"/>
    <w:rsid w:val="0000564C"/>
    <w:rsid w:val="00006446"/>
    <w:rsid w:val="00006896"/>
    <w:rsid w:val="00007CDC"/>
    <w:rsid w:val="00011B28"/>
    <w:rsid w:val="00014E24"/>
    <w:rsid w:val="00015D15"/>
    <w:rsid w:val="00020752"/>
    <w:rsid w:val="0002564D"/>
    <w:rsid w:val="00025ECA"/>
    <w:rsid w:val="000325B8"/>
    <w:rsid w:val="00034C15"/>
    <w:rsid w:val="00036BA1"/>
    <w:rsid w:val="000422E2"/>
    <w:rsid w:val="00042F22"/>
    <w:rsid w:val="00044411"/>
    <w:rsid w:val="000444EF"/>
    <w:rsid w:val="0004708D"/>
    <w:rsid w:val="00052A07"/>
    <w:rsid w:val="000534E3"/>
    <w:rsid w:val="0005606A"/>
    <w:rsid w:val="00057117"/>
    <w:rsid w:val="00057A78"/>
    <w:rsid w:val="000616E7"/>
    <w:rsid w:val="0006487E"/>
    <w:rsid w:val="00065E1A"/>
    <w:rsid w:val="00065FE7"/>
    <w:rsid w:val="000666E0"/>
    <w:rsid w:val="00067346"/>
    <w:rsid w:val="00077E5F"/>
    <w:rsid w:val="0008036A"/>
    <w:rsid w:val="00080537"/>
    <w:rsid w:val="000805D7"/>
    <w:rsid w:val="00081AE6"/>
    <w:rsid w:val="000855EB"/>
    <w:rsid w:val="00085B52"/>
    <w:rsid w:val="000866F2"/>
    <w:rsid w:val="0009009F"/>
    <w:rsid w:val="00091557"/>
    <w:rsid w:val="000924C1"/>
    <w:rsid w:val="000924F0"/>
    <w:rsid w:val="00093474"/>
    <w:rsid w:val="000936BB"/>
    <w:rsid w:val="0009510F"/>
    <w:rsid w:val="000A1B7B"/>
    <w:rsid w:val="000A56F2"/>
    <w:rsid w:val="000A7200"/>
    <w:rsid w:val="000B2719"/>
    <w:rsid w:val="000B3A8F"/>
    <w:rsid w:val="000B4AB9"/>
    <w:rsid w:val="000B58C3"/>
    <w:rsid w:val="000B61E9"/>
    <w:rsid w:val="000C165A"/>
    <w:rsid w:val="000C2E19"/>
    <w:rsid w:val="000D0D07"/>
    <w:rsid w:val="000D4797"/>
    <w:rsid w:val="000D554A"/>
    <w:rsid w:val="000E0527"/>
    <w:rsid w:val="000E1E92"/>
    <w:rsid w:val="000F0284"/>
    <w:rsid w:val="000F06D6"/>
    <w:rsid w:val="000F0EB1"/>
    <w:rsid w:val="000F1106"/>
    <w:rsid w:val="000F3BE9"/>
    <w:rsid w:val="000F3F6C"/>
    <w:rsid w:val="000F4C4E"/>
    <w:rsid w:val="000F6DF3"/>
    <w:rsid w:val="001005FF"/>
    <w:rsid w:val="001038CC"/>
    <w:rsid w:val="001044A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67133"/>
    <w:rsid w:val="00173A8E"/>
    <w:rsid w:val="0017502C"/>
    <w:rsid w:val="00176941"/>
    <w:rsid w:val="0018143F"/>
    <w:rsid w:val="00181F54"/>
    <w:rsid w:val="00181FF8"/>
    <w:rsid w:val="001904FC"/>
    <w:rsid w:val="00190AC1"/>
    <w:rsid w:val="0019341A"/>
    <w:rsid w:val="00197604"/>
    <w:rsid w:val="00197DF9"/>
    <w:rsid w:val="001A1987"/>
    <w:rsid w:val="001A2564"/>
    <w:rsid w:val="001A6173"/>
    <w:rsid w:val="001A6797"/>
    <w:rsid w:val="001A6CBA"/>
    <w:rsid w:val="001B0D97"/>
    <w:rsid w:val="001B5A5D"/>
    <w:rsid w:val="001C1CE5"/>
    <w:rsid w:val="001C3D2A"/>
    <w:rsid w:val="001C53C2"/>
    <w:rsid w:val="001C59C1"/>
    <w:rsid w:val="001C60F4"/>
    <w:rsid w:val="001D2FCC"/>
    <w:rsid w:val="001D43B7"/>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610A"/>
    <w:rsid w:val="002265B7"/>
    <w:rsid w:val="00230765"/>
    <w:rsid w:val="002308DB"/>
    <w:rsid w:val="00230D18"/>
    <w:rsid w:val="002319E4"/>
    <w:rsid w:val="00235632"/>
    <w:rsid w:val="00235872"/>
    <w:rsid w:val="00241559"/>
    <w:rsid w:val="002435B3"/>
    <w:rsid w:val="002458EB"/>
    <w:rsid w:val="002500C8"/>
    <w:rsid w:val="0025613D"/>
    <w:rsid w:val="00257543"/>
    <w:rsid w:val="00260B6E"/>
    <w:rsid w:val="002617E7"/>
    <w:rsid w:val="00264228"/>
    <w:rsid w:val="00264334"/>
    <w:rsid w:val="0026473E"/>
    <w:rsid w:val="00266214"/>
    <w:rsid w:val="00266D5B"/>
    <w:rsid w:val="00267C83"/>
    <w:rsid w:val="0027144F"/>
    <w:rsid w:val="00271813"/>
    <w:rsid w:val="00271F3A"/>
    <w:rsid w:val="00273278"/>
    <w:rsid w:val="002737F4"/>
    <w:rsid w:val="002805F5"/>
    <w:rsid w:val="00280751"/>
    <w:rsid w:val="00280ED3"/>
    <w:rsid w:val="0028280A"/>
    <w:rsid w:val="00286ACD"/>
    <w:rsid w:val="00287838"/>
    <w:rsid w:val="002907B5"/>
    <w:rsid w:val="0029151E"/>
    <w:rsid w:val="00292EB7"/>
    <w:rsid w:val="00296227"/>
    <w:rsid w:val="00296A51"/>
    <w:rsid w:val="00296F44"/>
    <w:rsid w:val="0029777D"/>
    <w:rsid w:val="002A010B"/>
    <w:rsid w:val="002A055E"/>
    <w:rsid w:val="002A1D4E"/>
    <w:rsid w:val="002A2869"/>
    <w:rsid w:val="002A6EA4"/>
    <w:rsid w:val="002B24D6"/>
    <w:rsid w:val="002B2961"/>
    <w:rsid w:val="002C41E6"/>
    <w:rsid w:val="002C57BA"/>
    <w:rsid w:val="002D071A"/>
    <w:rsid w:val="002D20EF"/>
    <w:rsid w:val="002D34B2"/>
    <w:rsid w:val="002D36BE"/>
    <w:rsid w:val="002D48B0"/>
    <w:rsid w:val="002D5B37"/>
    <w:rsid w:val="002D7637"/>
    <w:rsid w:val="002E17F2"/>
    <w:rsid w:val="002E7CAE"/>
    <w:rsid w:val="002F2771"/>
    <w:rsid w:val="002F37A9"/>
    <w:rsid w:val="002F3DB7"/>
    <w:rsid w:val="002F4467"/>
    <w:rsid w:val="00301CE6"/>
    <w:rsid w:val="0030256B"/>
    <w:rsid w:val="00303191"/>
    <w:rsid w:val="0030501F"/>
    <w:rsid w:val="00307BA1"/>
    <w:rsid w:val="00311702"/>
    <w:rsid w:val="00311E82"/>
    <w:rsid w:val="00312631"/>
    <w:rsid w:val="00313725"/>
    <w:rsid w:val="00313FD6"/>
    <w:rsid w:val="003143BD"/>
    <w:rsid w:val="00315363"/>
    <w:rsid w:val="003203ED"/>
    <w:rsid w:val="0032141E"/>
    <w:rsid w:val="00322C9F"/>
    <w:rsid w:val="00324D23"/>
    <w:rsid w:val="0032684C"/>
    <w:rsid w:val="00331751"/>
    <w:rsid w:val="00331FDC"/>
    <w:rsid w:val="00334579"/>
    <w:rsid w:val="00335858"/>
    <w:rsid w:val="00336BDA"/>
    <w:rsid w:val="00342BD7"/>
    <w:rsid w:val="0034651E"/>
    <w:rsid w:val="00346DB5"/>
    <w:rsid w:val="003477B1"/>
    <w:rsid w:val="00357380"/>
    <w:rsid w:val="003602D9"/>
    <w:rsid w:val="003604CE"/>
    <w:rsid w:val="00370E47"/>
    <w:rsid w:val="003742AC"/>
    <w:rsid w:val="00377CE1"/>
    <w:rsid w:val="00381C62"/>
    <w:rsid w:val="00385BF0"/>
    <w:rsid w:val="003939FF"/>
    <w:rsid w:val="00397804"/>
    <w:rsid w:val="003A2223"/>
    <w:rsid w:val="003A2A0F"/>
    <w:rsid w:val="003A45A1"/>
    <w:rsid w:val="003A5B0A"/>
    <w:rsid w:val="003A6BAC"/>
    <w:rsid w:val="003A70A4"/>
    <w:rsid w:val="003A7EF3"/>
    <w:rsid w:val="003B159C"/>
    <w:rsid w:val="003B369F"/>
    <w:rsid w:val="003B36A3"/>
    <w:rsid w:val="003B43EC"/>
    <w:rsid w:val="003B64BB"/>
    <w:rsid w:val="003B7FE5"/>
    <w:rsid w:val="003C11C8"/>
    <w:rsid w:val="003C2702"/>
    <w:rsid w:val="003C7806"/>
    <w:rsid w:val="003D068E"/>
    <w:rsid w:val="003D109F"/>
    <w:rsid w:val="003D2478"/>
    <w:rsid w:val="003D2894"/>
    <w:rsid w:val="003D3C45"/>
    <w:rsid w:val="003D3E33"/>
    <w:rsid w:val="003D5B1F"/>
    <w:rsid w:val="003E15FA"/>
    <w:rsid w:val="003E3630"/>
    <w:rsid w:val="003E55E4"/>
    <w:rsid w:val="003E74E3"/>
    <w:rsid w:val="003F05C7"/>
    <w:rsid w:val="003F2CD4"/>
    <w:rsid w:val="003F6BBE"/>
    <w:rsid w:val="004000E8"/>
    <w:rsid w:val="00400993"/>
    <w:rsid w:val="00402E2B"/>
    <w:rsid w:val="0040512B"/>
    <w:rsid w:val="00405CA5"/>
    <w:rsid w:val="00407CD3"/>
    <w:rsid w:val="00407EE9"/>
    <w:rsid w:val="00410134"/>
    <w:rsid w:val="004109D5"/>
    <w:rsid w:val="00410B72"/>
    <w:rsid w:val="00410F18"/>
    <w:rsid w:val="004121DC"/>
    <w:rsid w:val="0041263E"/>
    <w:rsid w:val="00413AAC"/>
    <w:rsid w:val="00413E92"/>
    <w:rsid w:val="00414110"/>
    <w:rsid w:val="00421105"/>
    <w:rsid w:val="00422AA4"/>
    <w:rsid w:val="004242F4"/>
    <w:rsid w:val="00427248"/>
    <w:rsid w:val="00437447"/>
    <w:rsid w:val="00441A92"/>
    <w:rsid w:val="004431DC"/>
    <w:rsid w:val="00444F56"/>
    <w:rsid w:val="00446488"/>
    <w:rsid w:val="00446EC8"/>
    <w:rsid w:val="0045028E"/>
    <w:rsid w:val="004517AA"/>
    <w:rsid w:val="00451902"/>
    <w:rsid w:val="00452CAC"/>
    <w:rsid w:val="00457565"/>
    <w:rsid w:val="00457745"/>
    <w:rsid w:val="00457780"/>
    <w:rsid w:val="00457B71"/>
    <w:rsid w:val="004669E2"/>
    <w:rsid w:val="00470C31"/>
    <w:rsid w:val="00471DE0"/>
    <w:rsid w:val="004734D0"/>
    <w:rsid w:val="004744B3"/>
    <w:rsid w:val="004749E5"/>
    <w:rsid w:val="0047556B"/>
    <w:rsid w:val="00477768"/>
    <w:rsid w:val="00492BC5"/>
    <w:rsid w:val="004964F1"/>
    <w:rsid w:val="004A16BC"/>
    <w:rsid w:val="004A2B94"/>
    <w:rsid w:val="004B210A"/>
    <w:rsid w:val="004B6F6A"/>
    <w:rsid w:val="004B7C0C"/>
    <w:rsid w:val="004C3898"/>
    <w:rsid w:val="004D36B1"/>
    <w:rsid w:val="004D6D37"/>
    <w:rsid w:val="004D7EBD"/>
    <w:rsid w:val="004E2680"/>
    <w:rsid w:val="004E28F9"/>
    <w:rsid w:val="004E462E"/>
    <w:rsid w:val="004E56DC"/>
    <w:rsid w:val="004E76F4"/>
    <w:rsid w:val="004F0B4E"/>
    <w:rsid w:val="004F0B6C"/>
    <w:rsid w:val="004F2078"/>
    <w:rsid w:val="004F2AAD"/>
    <w:rsid w:val="004F4DA3"/>
    <w:rsid w:val="005006B8"/>
    <w:rsid w:val="0050120C"/>
    <w:rsid w:val="00506557"/>
    <w:rsid w:val="0050677A"/>
    <w:rsid w:val="005108D8"/>
    <w:rsid w:val="005116F9"/>
    <w:rsid w:val="005153A7"/>
    <w:rsid w:val="005219CF"/>
    <w:rsid w:val="00534B59"/>
    <w:rsid w:val="00536759"/>
    <w:rsid w:val="00536DE5"/>
    <w:rsid w:val="00537C62"/>
    <w:rsid w:val="00546970"/>
    <w:rsid w:val="00546B72"/>
    <w:rsid w:val="00554C93"/>
    <w:rsid w:val="00554E19"/>
    <w:rsid w:val="0056121F"/>
    <w:rsid w:val="00572505"/>
    <w:rsid w:val="00582809"/>
    <w:rsid w:val="005856BF"/>
    <w:rsid w:val="00586960"/>
    <w:rsid w:val="0058798C"/>
    <w:rsid w:val="005900FA"/>
    <w:rsid w:val="00590C61"/>
    <w:rsid w:val="005926F5"/>
    <w:rsid w:val="005935A4"/>
    <w:rsid w:val="005948C2"/>
    <w:rsid w:val="00595DCA"/>
    <w:rsid w:val="0059779B"/>
    <w:rsid w:val="005A1D40"/>
    <w:rsid w:val="005A209A"/>
    <w:rsid w:val="005A662D"/>
    <w:rsid w:val="005B1409"/>
    <w:rsid w:val="005B35D7"/>
    <w:rsid w:val="005B392A"/>
    <w:rsid w:val="005B3AA3"/>
    <w:rsid w:val="005B3C8A"/>
    <w:rsid w:val="005B3FBA"/>
    <w:rsid w:val="005B6F83"/>
    <w:rsid w:val="005C2152"/>
    <w:rsid w:val="005C3612"/>
    <w:rsid w:val="005C74FB"/>
    <w:rsid w:val="005D1602"/>
    <w:rsid w:val="005D2184"/>
    <w:rsid w:val="005D319B"/>
    <w:rsid w:val="005D704E"/>
    <w:rsid w:val="005E385F"/>
    <w:rsid w:val="005E49C3"/>
    <w:rsid w:val="005E5B81"/>
    <w:rsid w:val="005F2CB1"/>
    <w:rsid w:val="005F3025"/>
    <w:rsid w:val="005F43B0"/>
    <w:rsid w:val="005F618C"/>
    <w:rsid w:val="005F70BD"/>
    <w:rsid w:val="00601C0F"/>
    <w:rsid w:val="0060283C"/>
    <w:rsid w:val="00604F14"/>
    <w:rsid w:val="00611B83"/>
    <w:rsid w:val="00613257"/>
    <w:rsid w:val="006153F7"/>
    <w:rsid w:val="00620A71"/>
    <w:rsid w:val="00620D80"/>
    <w:rsid w:val="006234A6"/>
    <w:rsid w:val="00630001"/>
    <w:rsid w:val="006311B3"/>
    <w:rsid w:val="0063284C"/>
    <w:rsid w:val="00636398"/>
    <w:rsid w:val="006368D3"/>
    <w:rsid w:val="006377EC"/>
    <w:rsid w:val="006378CF"/>
    <w:rsid w:val="0064151F"/>
    <w:rsid w:val="00641533"/>
    <w:rsid w:val="0064208D"/>
    <w:rsid w:val="00643475"/>
    <w:rsid w:val="0064396A"/>
    <w:rsid w:val="006453E2"/>
    <w:rsid w:val="0064624E"/>
    <w:rsid w:val="00650AB9"/>
    <w:rsid w:val="00655733"/>
    <w:rsid w:val="00655ACD"/>
    <w:rsid w:val="00656A92"/>
    <w:rsid w:val="00656DDE"/>
    <w:rsid w:val="0066011D"/>
    <w:rsid w:val="006607C0"/>
    <w:rsid w:val="00660CEE"/>
    <w:rsid w:val="006613A6"/>
    <w:rsid w:val="006627A2"/>
    <w:rsid w:val="006634E6"/>
    <w:rsid w:val="00664883"/>
    <w:rsid w:val="006655EE"/>
    <w:rsid w:val="00667EE7"/>
    <w:rsid w:val="00670922"/>
    <w:rsid w:val="00670BE1"/>
    <w:rsid w:val="0067218F"/>
    <w:rsid w:val="006741F2"/>
    <w:rsid w:val="00674CC3"/>
    <w:rsid w:val="00675C72"/>
    <w:rsid w:val="006771F9"/>
    <w:rsid w:val="006776D7"/>
    <w:rsid w:val="00681003"/>
    <w:rsid w:val="006817C9"/>
    <w:rsid w:val="00683ECE"/>
    <w:rsid w:val="00690665"/>
    <w:rsid w:val="00695FC2"/>
    <w:rsid w:val="00696949"/>
    <w:rsid w:val="00697052"/>
    <w:rsid w:val="006A46FB"/>
    <w:rsid w:val="006A4D95"/>
    <w:rsid w:val="006A4E4E"/>
    <w:rsid w:val="006A52B9"/>
    <w:rsid w:val="006A5E28"/>
    <w:rsid w:val="006A697B"/>
    <w:rsid w:val="006A7AFF"/>
    <w:rsid w:val="006B1816"/>
    <w:rsid w:val="006B2099"/>
    <w:rsid w:val="006B2B46"/>
    <w:rsid w:val="006B50CF"/>
    <w:rsid w:val="006C03B8"/>
    <w:rsid w:val="006C13BB"/>
    <w:rsid w:val="006C5EC9"/>
    <w:rsid w:val="006C6059"/>
    <w:rsid w:val="006C6C43"/>
    <w:rsid w:val="006C7522"/>
    <w:rsid w:val="006D6F08"/>
    <w:rsid w:val="006E062C"/>
    <w:rsid w:val="006E1C82"/>
    <w:rsid w:val="006E28B7"/>
    <w:rsid w:val="006E2A9B"/>
    <w:rsid w:val="006E3310"/>
    <w:rsid w:val="006E3D6B"/>
    <w:rsid w:val="006E496D"/>
    <w:rsid w:val="006E4E39"/>
    <w:rsid w:val="006E565E"/>
    <w:rsid w:val="006E673D"/>
    <w:rsid w:val="006E7D3B"/>
    <w:rsid w:val="006F1B70"/>
    <w:rsid w:val="006F341D"/>
    <w:rsid w:val="006F3CDE"/>
    <w:rsid w:val="006F50A6"/>
    <w:rsid w:val="006F58D4"/>
    <w:rsid w:val="006F6582"/>
    <w:rsid w:val="007032F8"/>
    <w:rsid w:val="0070346E"/>
    <w:rsid w:val="00704EDB"/>
    <w:rsid w:val="00706101"/>
    <w:rsid w:val="00707072"/>
    <w:rsid w:val="00707D61"/>
    <w:rsid w:val="00711D81"/>
    <w:rsid w:val="00712287"/>
    <w:rsid w:val="00712772"/>
    <w:rsid w:val="007148D3"/>
    <w:rsid w:val="00714ABC"/>
    <w:rsid w:val="00715B9A"/>
    <w:rsid w:val="007257D0"/>
    <w:rsid w:val="00725C3A"/>
    <w:rsid w:val="00726EA6"/>
    <w:rsid w:val="00727208"/>
    <w:rsid w:val="00727680"/>
    <w:rsid w:val="00730AEC"/>
    <w:rsid w:val="007348B1"/>
    <w:rsid w:val="007362A6"/>
    <w:rsid w:val="00736D7D"/>
    <w:rsid w:val="00737376"/>
    <w:rsid w:val="00740E58"/>
    <w:rsid w:val="007445A0"/>
    <w:rsid w:val="0074524B"/>
    <w:rsid w:val="00747D8B"/>
    <w:rsid w:val="00751228"/>
    <w:rsid w:val="0075305E"/>
    <w:rsid w:val="00755E95"/>
    <w:rsid w:val="007571E1"/>
    <w:rsid w:val="007604B2"/>
    <w:rsid w:val="00765281"/>
    <w:rsid w:val="00766BAD"/>
    <w:rsid w:val="007729A2"/>
    <w:rsid w:val="007755F2"/>
    <w:rsid w:val="00776971"/>
    <w:rsid w:val="00780A80"/>
    <w:rsid w:val="0078177E"/>
    <w:rsid w:val="0078304C"/>
    <w:rsid w:val="00783673"/>
    <w:rsid w:val="00785490"/>
    <w:rsid w:val="007904E3"/>
    <w:rsid w:val="007925EA"/>
    <w:rsid w:val="00793CD8"/>
    <w:rsid w:val="00795C92"/>
    <w:rsid w:val="00796231"/>
    <w:rsid w:val="007A1CB3"/>
    <w:rsid w:val="007A306F"/>
    <w:rsid w:val="007A43A6"/>
    <w:rsid w:val="007A58A6"/>
    <w:rsid w:val="007B3D2D"/>
    <w:rsid w:val="007B50AE"/>
    <w:rsid w:val="007B51DF"/>
    <w:rsid w:val="007C05DD"/>
    <w:rsid w:val="007C34A6"/>
    <w:rsid w:val="007C3D18"/>
    <w:rsid w:val="007C60BF"/>
    <w:rsid w:val="007C6A07"/>
    <w:rsid w:val="007C6C3C"/>
    <w:rsid w:val="007C75A1"/>
    <w:rsid w:val="007C77A5"/>
    <w:rsid w:val="007D04E5"/>
    <w:rsid w:val="007D18D1"/>
    <w:rsid w:val="007D5745"/>
    <w:rsid w:val="007D5901"/>
    <w:rsid w:val="007D7526"/>
    <w:rsid w:val="007E4610"/>
    <w:rsid w:val="007E4715"/>
    <w:rsid w:val="007E505B"/>
    <w:rsid w:val="007E7091"/>
    <w:rsid w:val="007F30EB"/>
    <w:rsid w:val="00803C7E"/>
    <w:rsid w:val="00803FAE"/>
    <w:rsid w:val="0080605F"/>
    <w:rsid w:val="00807786"/>
    <w:rsid w:val="00811FCB"/>
    <w:rsid w:val="008158D6"/>
    <w:rsid w:val="0081694E"/>
    <w:rsid w:val="00817196"/>
    <w:rsid w:val="008235DB"/>
    <w:rsid w:val="00824AB4"/>
    <w:rsid w:val="00825212"/>
    <w:rsid w:val="00825C42"/>
    <w:rsid w:val="00825D25"/>
    <w:rsid w:val="00827D6F"/>
    <w:rsid w:val="00830A60"/>
    <w:rsid w:val="008376AC"/>
    <w:rsid w:val="008444E8"/>
    <w:rsid w:val="00844E80"/>
    <w:rsid w:val="00846FE7"/>
    <w:rsid w:val="00856911"/>
    <w:rsid w:val="008609CB"/>
    <w:rsid w:val="00861C9E"/>
    <w:rsid w:val="008677FD"/>
    <w:rsid w:val="008706D4"/>
    <w:rsid w:val="00870F8A"/>
    <w:rsid w:val="008719A4"/>
    <w:rsid w:val="00871D23"/>
    <w:rsid w:val="00874312"/>
    <w:rsid w:val="0087437C"/>
    <w:rsid w:val="00875CD7"/>
    <w:rsid w:val="008767AB"/>
    <w:rsid w:val="00876B4D"/>
    <w:rsid w:val="00877F18"/>
    <w:rsid w:val="00881D7B"/>
    <w:rsid w:val="00883602"/>
    <w:rsid w:val="0088518E"/>
    <w:rsid w:val="0088743F"/>
    <w:rsid w:val="00891355"/>
    <w:rsid w:val="008941E3"/>
    <w:rsid w:val="00894A88"/>
    <w:rsid w:val="00895386"/>
    <w:rsid w:val="00897C34"/>
    <w:rsid w:val="008A21FF"/>
    <w:rsid w:val="008A2CE2"/>
    <w:rsid w:val="008A30AC"/>
    <w:rsid w:val="008A44B8"/>
    <w:rsid w:val="008A51A8"/>
    <w:rsid w:val="008A54C7"/>
    <w:rsid w:val="008A77D8"/>
    <w:rsid w:val="008B0483"/>
    <w:rsid w:val="008B120C"/>
    <w:rsid w:val="008B51A0"/>
    <w:rsid w:val="008B592A"/>
    <w:rsid w:val="008B7B5C"/>
    <w:rsid w:val="008C0C99"/>
    <w:rsid w:val="008C149A"/>
    <w:rsid w:val="008C2017"/>
    <w:rsid w:val="008C4958"/>
    <w:rsid w:val="008C4BAA"/>
    <w:rsid w:val="008C55BC"/>
    <w:rsid w:val="008C69DA"/>
    <w:rsid w:val="008C6AE8"/>
    <w:rsid w:val="008C7573"/>
    <w:rsid w:val="008D00A5"/>
    <w:rsid w:val="008D0642"/>
    <w:rsid w:val="008D34F1"/>
    <w:rsid w:val="008D39D8"/>
    <w:rsid w:val="008D6D1A"/>
    <w:rsid w:val="008E065E"/>
    <w:rsid w:val="008E0927"/>
    <w:rsid w:val="008E1787"/>
    <w:rsid w:val="008E1909"/>
    <w:rsid w:val="008E3C54"/>
    <w:rsid w:val="008F1C4E"/>
    <w:rsid w:val="008F1EAB"/>
    <w:rsid w:val="008F33DC"/>
    <w:rsid w:val="008F477F"/>
    <w:rsid w:val="00902350"/>
    <w:rsid w:val="0090336B"/>
    <w:rsid w:val="009050C4"/>
    <w:rsid w:val="009053AA"/>
    <w:rsid w:val="00906939"/>
    <w:rsid w:val="00910B7D"/>
    <w:rsid w:val="00911DFB"/>
    <w:rsid w:val="009139D9"/>
    <w:rsid w:val="00914AD8"/>
    <w:rsid w:val="00916079"/>
    <w:rsid w:val="00917CE9"/>
    <w:rsid w:val="0092020B"/>
    <w:rsid w:val="00920BF2"/>
    <w:rsid w:val="00922010"/>
    <w:rsid w:val="00923775"/>
    <w:rsid w:val="00931BD9"/>
    <w:rsid w:val="009368F3"/>
    <w:rsid w:val="0094119D"/>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0186"/>
    <w:rsid w:val="00971F08"/>
    <w:rsid w:val="0097231C"/>
    <w:rsid w:val="009751E9"/>
    <w:rsid w:val="0097603D"/>
    <w:rsid w:val="00976949"/>
    <w:rsid w:val="00977245"/>
    <w:rsid w:val="00980477"/>
    <w:rsid w:val="009838EF"/>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6C61"/>
    <w:rsid w:val="009B7E87"/>
    <w:rsid w:val="009C0169"/>
    <w:rsid w:val="009C2704"/>
    <w:rsid w:val="009C403E"/>
    <w:rsid w:val="009D4FF0"/>
    <w:rsid w:val="009D703C"/>
    <w:rsid w:val="009D718F"/>
    <w:rsid w:val="009E0676"/>
    <w:rsid w:val="009E068F"/>
    <w:rsid w:val="009E14E0"/>
    <w:rsid w:val="009E35DB"/>
    <w:rsid w:val="009E47A3"/>
    <w:rsid w:val="009E7B52"/>
    <w:rsid w:val="009F08F3"/>
    <w:rsid w:val="009F1043"/>
    <w:rsid w:val="009F2E7A"/>
    <w:rsid w:val="009F344F"/>
    <w:rsid w:val="00A02032"/>
    <w:rsid w:val="00A031D8"/>
    <w:rsid w:val="00A048A8"/>
    <w:rsid w:val="00A04F49"/>
    <w:rsid w:val="00A13E54"/>
    <w:rsid w:val="00A17F63"/>
    <w:rsid w:val="00A20111"/>
    <w:rsid w:val="00A2193B"/>
    <w:rsid w:val="00A2351A"/>
    <w:rsid w:val="00A264A9"/>
    <w:rsid w:val="00A26DCF"/>
    <w:rsid w:val="00A27361"/>
    <w:rsid w:val="00A27785"/>
    <w:rsid w:val="00A30187"/>
    <w:rsid w:val="00A342BF"/>
    <w:rsid w:val="00A3448A"/>
    <w:rsid w:val="00A36297"/>
    <w:rsid w:val="00A375B3"/>
    <w:rsid w:val="00A41E2B"/>
    <w:rsid w:val="00A45B74"/>
    <w:rsid w:val="00A46811"/>
    <w:rsid w:val="00A52E1D"/>
    <w:rsid w:val="00A60EE6"/>
    <w:rsid w:val="00A61499"/>
    <w:rsid w:val="00A62046"/>
    <w:rsid w:val="00A62A77"/>
    <w:rsid w:val="00A63483"/>
    <w:rsid w:val="00A657D7"/>
    <w:rsid w:val="00A660AC"/>
    <w:rsid w:val="00A67E6C"/>
    <w:rsid w:val="00A70300"/>
    <w:rsid w:val="00A71B99"/>
    <w:rsid w:val="00A739D0"/>
    <w:rsid w:val="00A761D4"/>
    <w:rsid w:val="00A77EC4"/>
    <w:rsid w:val="00A81104"/>
    <w:rsid w:val="00A86768"/>
    <w:rsid w:val="00A87407"/>
    <w:rsid w:val="00A92879"/>
    <w:rsid w:val="00A92ED8"/>
    <w:rsid w:val="00A9442A"/>
    <w:rsid w:val="00AA016F"/>
    <w:rsid w:val="00AA1ED6"/>
    <w:rsid w:val="00AA51D6"/>
    <w:rsid w:val="00AA548F"/>
    <w:rsid w:val="00AB0BC8"/>
    <w:rsid w:val="00AB11CA"/>
    <w:rsid w:val="00AB14D9"/>
    <w:rsid w:val="00AB4AB8"/>
    <w:rsid w:val="00AB655E"/>
    <w:rsid w:val="00AB708A"/>
    <w:rsid w:val="00AC007F"/>
    <w:rsid w:val="00AC0C6F"/>
    <w:rsid w:val="00AC2ECD"/>
    <w:rsid w:val="00AC3119"/>
    <w:rsid w:val="00AC3C9C"/>
    <w:rsid w:val="00AC49FB"/>
    <w:rsid w:val="00AC5A10"/>
    <w:rsid w:val="00AD0AA3"/>
    <w:rsid w:val="00AD2ED0"/>
    <w:rsid w:val="00AD3F94"/>
    <w:rsid w:val="00AD4A5A"/>
    <w:rsid w:val="00AD57D9"/>
    <w:rsid w:val="00AE27AC"/>
    <w:rsid w:val="00AE40E0"/>
    <w:rsid w:val="00AE4DBA"/>
    <w:rsid w:val="00AE4F07"/>
    <w:rsid w:val="00AE5FF4"/>
    <w:rsid w:val="00AF1C5D"/>
    <w:rsid w:val="00AF42D7"/>
    <w:rsid w:val="00AF79BB"/>
    <w:rsid w:val="00B006FE"/>
    <w:rsid w:val="00B007CB"/>
    <w:rsid w:val="00B02AA9"/>
    <w:rsid w:val="00B02FA3"/>
    <w:rsid w:val="00B042B2"/>
    <w:rsid w:val="00B05084"/>
    <w:rsid w:val="00B157F9"/>
    <w:rsid w:val="00B20256"/>
    <w:rsid w:val="00B20D09"/>
    <w:rsid w:val="00B2763F"/>
    <w:rsid w:val="00B27AAC"/>
    <w:rsid w:val="00B30929"/>
    <w:rsid w:val="00B363E2"/>
    <w:rsid w:val="00B372AA"/>
    <w:rsid w:val="00B40445"/>
    <w:rsid w:val="00B409E0"/>
    <w:rsid w:val="00B41888"/>
    <w:rsid w:val="00B45A52"/>
    <w:rsid w:val="00B46175"/>
    <w:rsid w:val="00B548B7"/>
    <w:rsid w:val="00B664C7"/>
    <w:rsid w:val="00B739F6"/>
    <w:rsid w:val="00B81A6C"/>
    <w:rsid w:val="00B85DE5"/>
    <w:rsid w:val="00B874FF"/>
    <w:rsid w:val="00B90F73"/>
    <w:rsid w:val="00B93B59"/>
    <w:rsid w:val="00B93D4E"/>
    <w:rsid w:val="00B9406A"/>
    <w:rsid w:val="00B974CE"/>
    <w:rsid w:val="00BA2280"/>
    <w:rsid w:val="00BA2A08"/>
    <w:rsid w:val="00BA56D2"/>
    <w:rsid w:val="00BA76E0"/>
    <w:rsid w:val="00BB2A25"/>
    <w:rsid w:val="00BB4D08"/>
    <w:rsid w:val="00BB51E9"/>
    <w:rsid w:val="00BC0FDC"/>
    <w:rsid w:val="00BC3053"/>
    <w:rsid w:val="00BC4D2E"/>
    <w:rsid w:val="00BD48AC"/>
    <w:rsid w:val="00BD5F1A"/>
    <w:rsid w:val="00BE1234"/>
    <w:rsid w:val="00BE138C"/>
    <w:rsid w:val="00BE2397"/>
    <w:rsid w:val="00BE2FA6"/>
    <w:rsid w:val="00BE333F"/>
    <w:rsid w:val="00BE5051"/>
    <w:rsid w:val="00BE7406"/>
    <w:rsid w:val="00BE7603"/>
    <w:rsid w:val="00BF3279"/>
    <w:rsid w:val="00BF3826"/>
    <w:rsid w:val="00BF74C7"/>
    <w:rsid w:val="00C015F1"/>
    <w:rsid w:val="00C01F33"/>
    <w:rsid w:val="00C02CC6"/>
    <w:rsid w:val="00C040F7"/>
    <w:rsid w:val="00C044AB"/>
    <w:rsid w:val="00C05706"/>
    <w:rsid w:val="00C0691B"/>
    <w:rsid w:val="00C07377"/>
    <w:rsid w:val="00C10478"/>
    <w:rsid w:val="00C11B38"/>
    <w:rsid w:val="00C12107"/>
    <w:rsid w:val="00C14D4B"/>
    <w:rsid w:val="00C154BB"/>
    <w:rsid w:val="00C15FE6"/>
    <w:rsid w:val="00C279B5"/>
    <w:rsid w:val="00C27C45"/>
    <w:rsid w:val="00C30D78"/>
    <w:rsid w:val="00C3557E"/>
    <w:rsid w:val="00C3719D"/>
    <w:rsid w:val="00C37CB2"/>
    <w:rsid w:val="00C46109"/>
    <w:rsid w:val="00C473A5"/>
    <w:rsid w:val="00C51BA2"/>
    <w:rsid w:val="00C54995"/>
    <w:rsid w:val="00C54D41"/>
    <w:rsid w:val="00C60783"/>
    <w:rsid w:val="00C64672"/>
    <w:rsid w:val="00C65B9F"/>
    <w:rsid w:val="00C70697"/>
    <w:rsid w:val="00C71332"/>
    <w:rsid w:val="00C72093"/>
    <w:rsid w:val="00C72EF4"/>
    <w:rsid w:val="00C744FE"/>
    <w:rsid w:val="00C75D2F"/>
    <w:rsid w:val="00C767BE"/>
    <w:rsid w:val="00C76E3C"/>
    <w:rsid w:val="00C81568"/>
    <w:rsid w:val="00C86A0C"/>
    <w:rsid w:val="00C87F59"/>
    <w:rsid w:val="00C9027A"/>
    <w:rsid w:val="00C9068E"/>
    <w:rsid w:val="00C93814"/>
    <w:rsid w:val="00C93C4B"/>
    <w:rsid w:val="00C944AB"/>
    <w:rsid w:val="00C95B40"/>
    <w:rsid w:val="00CA1ED8"/>
    <w:rsid w:val="00CB1E19"/>
    <w:rsid w:val="00CB1F63"/>
    <w:rsid w:val="00CB2F2C"/>
    <w:rsid w:val="00CB304B"/>
    <w:rsid w:val="00CB7170"/>
    <w:rsid w:val="00CC040E"/>
    <w:rsid w:val="00CC111F"/>
    <w:rsid w:val="00CC2011"/>
    <w:rsid w:val="00CC3EA0"/>
    <w:rsid w:val="00CC7B45"/>
    <w:rsid w:val="00CD1188"/>
    <w:rsid w:val="00CD1D8A"/>
    <w:rsid w:val="00CD2ED1"/>
    <w:rsid w:val="00CD337B"/>
    <w:rsid w:val="00CE0424"/>
    <w:rsid w:val="00CE7561"/>
    <w:rsid w:val="00CF105F"/>
    <w:rsid w:val="00CF1354"/>
    <w:rsid w:val="00CF3B1F"/>
    <w:rsid w:val="00CF3BF6"/>
    <w:rsid w:val="00CF625B"/>
    <w:rsid w:val="00CF687E"/>
    <w:rsid w:val="00D0349B"/>
    <w:rsid w:val="00D10249"/>
    <w:rsid w:val="00D10A4D"/>
    <w:rsid w:val="00D115C3"/>
    <w:rsid w:val="00D11897"/>
    <w:rsid w:val="00D13135"/>
    <w:rsid w:val="00D13E4E"/>
    <w:rsid w:val="00D239A7"/>
    <w:rsid w:val="00D23F47"/>
    <w:rsid w:val="00D36E71"/>
    <w:rsid w:val="00D37607"/>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2BF8"/>
    <w:rsid w:val="00D8327F"/>
    <w:rsid w:val="00D86CA3"/>
    <w:rsid w:val="00D871CE"/>
    <w:rsid w:val="00D9196D"/>
    <w:rsid w:val="00D92982"/>
    <w:rsid w:val="00D95462"/>
    <w:rsid w:val="00D977E1"/>
    <w:rsid w:val="00DA305E"/>
    <w:rsid w:val="00DA4077"/>
    <w:rsid w:val="00DA5417"/>
    <w:rsid w:val="00DA56E8"/>
    <w:rsid w:val="00DB0A9F"/>
    <w:rsid w:val="00DB377D"/>
    <w:rsid w:val="00DB4B2D"/>
    <w:rsid w:val="00DC2D36"/>
    <w:rsid w:val="00DC53EF"/>
    <w:rsid w:val="00DD16D5"/>
    <w:rsid w:val="00DD3F98"/>
    <w:rsid w:val="00DE5608"/>
    <w:rsid w:val="00DE58D0"/>
    <w:rsid w:val="00DE654F"/>
    <w:rsid w:val="00DF0B6E"/>
    <w:rsid w:val="00DF15E0"/>
    <w:rsid w:val="00DF37A0"/>
    <w:rsid w:val="00DF6536"/>
    <w:rsid w:val="00E055C2"/>
    <w:rsid w:val="00E07760"/>
    <w:rsid w:val="00E110E7"/>
    <w:rsid w:val="00E11B20"/>
    <w:rsid w:val="00E12581"/>
    <w:rsid w:val="00E17FA2"/>
    <w:rsid w:val="00E22330"/>
    <w:rsid w:val="00E27346"/>
    <w:rsid w:val="00E309BE"/>
    <w:rsid w:val="00E30B5A"/>
    <w:rsid w:val="00E3123D"/>
    <w:rsid w:val="00E31461"/>
    <w:rsid w:val="00E31B8C"/>
    <w:rsid w:val="00E31D43"/>
    <w:rsid w:val="00E32608"/>
    <w:rsid w:val="00E333C1"/>
    <w:rsid w:val="00E34188"/>
    <w:rsid w:val="00E34711"/>
    <w:rsid w:val="00E34B6E"/>
    <w:rsid w:val="00E35559"/>
    <w:rsid w:val="00E3723A"/>
    <w:rsid w:val="00E37860"/>
    <w:rsid w:val="00E446F1"/>
    <w:rsid w:val="00E456BF"/>
    <w:rsid w:val="00E46886"/>
    <w:rsid w:val="00E47AEF"/>
    <w:rsid w:val="00E53B75"/>
    <w:rsid w:val="00E54E3B"/>
    <w:rsid w:val="00E57565"/>
    <w:rsid w:val="00E63838"/>
    <w:rsid w:val="00E64434"/>
    <w:rsid w:val="00E67C51"/>
    <w:rsid w:val="00E720FA"/>
    <w:rsid w:val="00E72EFC"/>
    <w:rsid w:val="00E73057"/>
    <w:rsid w:val="00E758EC"/>
    <w:rsid w:val="00E805BB"/>
    <w:rsid w:val="00E8234C"/>
    <w:rsid w:val="00E83AA9"/>
    <w:rsid w:val="00E85928"/>
    <w:rsid w:val="00E87822"/>
    <w:rsid w:val="00E90395"/>
    <w:rsid w:val="00E90E49"/>
    <w:rsid w:val="00E917F9"/>
    <w:rsid w:val="00E9291C"/>
    <w:rsid w:val="00E93BCD"/>
    <w:rsid w:val="00E93FFE"/>
    <w:rsid w:val="00E94E43"/>
    <w:rsid w:val="00E94F8A"/>
    <w:rsid w:val="00E955E7"/>
    <w:rsid w:val="00E97773"/>
    <w:rsid w:val="00EA025D"/>
    <w:rsid w:val="00EA1886"/>
    <w:rsid w:val="00EA7A41"/>
    <w:rsid w:val="00EB077B"/>
    <w:rsid w:val="00EB4EA2"/>
    <w:rsid w:val="00EC24D5"/>
    <w:rsid w:val="00EC27C6"/>
    <w:rsid w:val="00EC4207"/>
    <w:rsid w:val="00EC5653"/>
    <w:rsid w:val="00EC71CE"/>
    <w:rsid w:val="00ED1006"/>
    <w:rsid w:val="00ED49D7"/>
    <w:rsid w:val="00EE6334"/>
    <w:rsid w:val="00EF03BA"/>
    <w:rsid w:val="00EF18FE"/>
    <w:rsid w:val="00EF5787"/>
    <w:rsid w:val="00EF60D0"/>
    <w:rsid w:val="00F006CD"/>
    <w:rsid w:val="00F02DB3"/>
    <w:rsid w:val="00F0528D"/>
    <w:rsid w:val="00F06C67"/>
    <w:rsid w:val="00F06DFD"/>
    <w:rsid w:val="00F071D1"/>
    <w:rsid w:val="00F07533"/>
    <w:rsid w:val="00F10629"/>
    <w:rsid w:val="00F15FA5"/>
    <w:rsid w:val="00F209B7"/>
    <w:rsid w:val="00F2376F"/>
    <w:rsid w:val="00F243D8"/>
    <w:rsid w:val="00F30828"/>
    <w:rsid w:val="00F313D6"/>
    <w:rsid w:val="00F323AB"/>
    <w:rsid w:val="00F358EB"/>
    <w:rsid w:val="00F3694F"/>
    <w:rsid w:val="00F40F0C"/>
    <w:rsid w:val="00F4766C"/>
    <w:rsid w:val="00F5060E"/>
    <w:rsid w:val="00F507D1"/>
    <w:rsid w:val="00F519CE"/>
    <w:rsid w:val="00F51ADA"/>
    <w:rsid w:val="00F52516"/>
    <w:rsid w:val="00F5449F"/>
    <w:rsid w:val="00F60203"/>
    <w:rsid w:val="00F607C5"/>
    <w:rsid w:val="00F60DEA"/>
    <w:rsid w:val="00F6302A"/>
    <w:rsid w:val="00F63950"/>
    <w:rsid w:val="00F64C2B"/>
    <w:rsid w:val="00F651BE"/>
    <w:rsid w:val="00F67F53"/>
    <w:rsid w:val="00F703BE"/>
    <w:rsid w:val="00F71F69"/>
    <w:rsid w:val="00F72517"/>
    <w:rsid w:val="00F72B72"/>
    <w:rsid w:val="00F7408E"/>
    <w:rsid w:val="00F74BB9"/>
    <w:rsid w:val="00F75582"/>
    <w:rsid w:val="00F76EFA"/>
    <w:rsid w:val="00F804BE"/>
    <w:rsid w:val="00F817CE"/>
    <w:rsid w:val="00F8456C"/>
    <w:rsid w:val="00F859D8"/>
    <w:rsid w:val="00F86361"/>
    <w:rsid w:val="00F863BD"/>
    <w:rsid w:val="00F86698"/>
    <w:rsid w:val="00F868F5"/>
    <w:rsid w:val="00F9056A"/>
    <w:rsid w:val="00F90F8D"/>
    <w:rsid w:val="00F92782"/>
    <w:rsid w:val="00F93AA9"/>
    <w:rsid w:val="00F94BE8"/>
    <w:rsid w:val="00F96985"/>
    <w:rsid w:val="00F97838"/>
    <w:rsid w:val="00FA2BB3"/>
    <w:rsid w:val="00FA56E8"/>
    <w:rsid w:val="00FB4C80"/>
    <w:rsid w:val="00FB6A6A"/>
    <w:rsid w:val="00FC7429"/>
    <w:rsid w:val="00FD07F6"/>
    <w:rsid w:val="00FD1EC8"/>
    <w:rsid w:val="00FD47ED"/>
    <w:rsid w:val="00FD74DB"/>
    <w:rsid w:val="00FD7660"/>
    <w:rsid w:val="00FD7973"/>
    <w:rsid w:val="00FE0655"/>
    <w:rsid w:val="00FE2365"/>
    <w:rsid w:val="00FE37D7"/>
    <w:rsid w:val="00FE4C7B"/>
    <w:rsid w:val="00FE7336"/>
    <w:rsid w:val="00FE787C"/>
    <w:rsid w:val="00FF31FD"/>
    <w:rsid w:val="00FF45A5"/>
    <w:rsid w:val="00FF5C91"/>
    <w:rsid w:val="00FF70A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0386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2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numbering" w:customStyle="1" w:styleId="WWOutlineListStyle11">
    <w:name w:val="WW_OutlineListStyle_11"/>
    <w:basedOn w:val="NoList"/>
    <w:rsid w:val="00970186"/>
    <w:pPr>
      <w:numPr>
        <w:numId w:val="26"/>
      </w:numPr>
    </w:pPr>
  </w:style>
  <w:style w:type="character" w:styleId="UnresolvedMention">
    <w:name w:val="Unresolved Mention"/>
    <w:basedOn w:val="DefaultParagraphFont"/>
    <w:uiPriority w:val="99"/>
    <w:semiHidden/>
    <w:unhideWhenUsed/>
    <w:rsid w:val="00F86698"/>
    <w:rPr>
      <w:color w:val="808080"/>
      <w:shd w:val="clear" w:color="auto" w:fill="E6E6E6"/>
    </w:rPr>
  </w:style>
  <w:style w:type="paragraph" w:customStyle="1" w:styleId="IvDbodytext">
    <w:name w:val="IvD bodytext"/>
    <w:basedOn w:val="BodyText"/>
    <w:link w:val="IvDbodytextChar"/>
    <w:qFormat/>
    <w:rsid w:val="00D10A4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D10A4D"/>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255216">
      <w:bodyDiv w:val="1"/>
      <w:marLeft w:val="0"/>
      <w:marRight w:val="0"/>
      <w:marTop w:val="0"/>
      <w:marBottom w:val="0"/>
      <w:divBdr>
        <w:top w:val="none" w:sz="0" w:space="0" w:color="auto"/>
        <w:left w:val="none" w:sz="0" w:space="0" w:color="auto"/>
        <w:bottom w:val="none" w:sz="0" w:space="0" w:color="auto"/>
        <w:right w:val="none" w:sz="0" w:space="0" w:color="auto"/>
      </w:divBdr>
    </w:div>
    <w:div w:id="983854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8220D4-E4EC-4C7F-BAA7-26009310B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718</Words>
  <Characters>4093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2018-08-10T21:16:00Z</dcterms:created>
  <dcterms:modified xsi:type="dcterms:W3CDTF">2018-08-10T21:16:00Z</dcterms:modified>
  <cp:category/>
</cp:coreProperties>
</file>